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727" w:rsidRDefault="00043727">
      <w:pPr>
        <w:spacing w:line="700" w:lineRule="exact"/>
        <w:jc w:val="center"/>
        <w:rPr>
          <w:rFonts w:ascii="黑体" w:eastAsia="黑体" w:hAnsi="黑体" w:cs="黑体"/>
          <w:sz w:val="44"/>
          <w:szCs w:val="44"/>
        </w:rPr>
      </w:pPr>
    </w:p>
    <w:p w:rsidR="00043727" w:rsidRDefault="00043727">
      <w:pPr>
        <w:spacing w:line="700" w:lineRule="exact"/>
        <w:jc w:val="center"/>
        <w:rPr>
          <w:rFonts w:ascii="黑体" w:eastAsia="黑体" w:hAnsi="黑体" w:cs="黑体"/>
          <w:sz w:val="44"/>
          <w:szCs w:val="44"/>
        </w:rPr>
      </w:pPr>
    </w:p>
    <w:p w:rsidR="00043727" w:rsidRDefault="00EF3381">
      <w:pPr>
        <w:adjustRightInd w:val="0"/>
        <w:snapToGrid w:val="0"/>
        <w:spacing w:line="800" w:lineRule="exact"/>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东莞市建筑节能与绿色建筑发展</w:t>
      </w:r>
    </w:p>
    <w:p w:rsidR="00043727" w:rsidRDefault="00EF3381">
      <w:pPr>
        <w:adjustRightInd w:val="0"/>
        <w:snapToGrid w:val="0"/>
        <w:spacing w:line="800" w:lineRule="exact"/>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“十四五”规划</w:t>
      </w:r>
    </w:p>
    <w:p w:rsidR="00043727" w:rsidRDefault="00EF3381">
      <w:pPr>
        <w:spacing w:line="700" w:lineRule="exact"/>
        <w:jc w:val="center"/>
        <w:rPr>
          <w:rFonts w:ascii="楷体" w:eastAsia="楷体" w:hAnsi="楷体" w:cs="楷体"/>
          <w:sz w:val="32"/>
          <w:szCs w:val="32"/>
        </w:rPr>
      </w:pPr>
      <w:r>
        <w:rPr>
          <w:rFonts w:ascii="楷体" w:eastAsia="楷体" w:hAnsi="楷体" w:cs="楷体" w:hint="eastAsia"/>
          <w:sz w:val="32"/>
          <w:szCs w:val="32"/>
        </w:rPr>
        <w:t>（报批稿）</w:t>
      </w:r>
    </w:p>
    <w:p w:rsidR="00043727" w:rsidRDefault="00043727">
      <w:pPr>
        <w:pStyle w:val="BodyTextIndent2"/>
        <w:rPr>
          <w:rFonts w:ascii="楷体" w:eastAsia="楷体" w:hAnsi="楷体" w:cs="楷体"/>
          <w:sz w:val="32"/>
          <w:szCs w:val="32"/>
        </w:rPr>
      </w:pPr>
    </w:p>
    <w:p w:rsidR="00043727" w:rsidRDefault="00043727">
      <w:pPr>
        <w:pStyle w:val="BodyTextIndent2"/>
        <w:ind w:leftChars="0" w:left="0"/>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043727">
      <w:pPr>
        <w:pStyle w:val="BodyTextIndent2"/>
        <w:rPr>
          <w:rFonts w:ascii="楷体" w:eastAsia="楷体" w:hAnsi="楷体" w:cs="楷体"/>
          <w:sz w:val="32"/>
          <w:szCs w:val="32"/>
        </w:rPr>
      </w:pPr>
    </w:p>
    <w:p w:rsidR="00043727" w:rsidRDefault="00EF3381">
      <w:pPr>
        <w:spacing w:line="700" w:lineRule="exact"/>
        <w:jc w:val="center"/>
        <w:rPr>
          <w:rFonts w:ascii="仿宋_GB2312" w:eastAsia="仿宋_GB2312" w:hAnsi="仿宋_GB2312" w:cs="仿宋_GB2312"/>
          <w:sz w:val="32"/>
          <w:szCs w:val="32"/>
        </w:rPr>
        <w:sectPr w:rsidR="00043727">
          <w:footerReference w:type="default" r:id="rId8"/>
          <w:pgSz w:w="11906" w:h="16838"/>
          <w:pgMar w:top="1440" w:right="1800" w:bottom="1440" w:left="1800" w:header="851" w:footer="992" w:gutter="0"/>
          <w:cols w:space="720"/>
          <w:docGrid w:type="lines" w:linePitch="312"/>
        </w:sectPr>
      </w:pPr>
      <w:r>
        <w:rPr>
          <w:rFonts w:ascii="楷体" w:eastAsia="楷体" w:hAnsi="楷体" w:cs="楷体" w:hint="eastAsia"/>
          <w:sz w:val="32"/>
          <w:szCs w:val="32"/>
        </w:rPr>
        <w:t>二〇二二年四月</w:t>
      </w:r>
    </w:p>
    <w:p w:rsidR="00043727" w:rsidRDefault="00EF3381">
      <w:pPr>
        <w:adjustRightInd w:val="0"/>
        <w:snapToGrid w:val="0"/>
        <w:spacing w:line="560" w:lineRule="exact"/>
        <w:jc w:val="center"/>
        <w:rPr>
          <w:rFonts w:ascii="仿宋_GB2312" w:eastAsia="仿宋_GB2312" w:hAnsi="仿宋_GB2312" w:cs="仿宋_GB2312"/>
          <w:b/>
          <w:bCs/>
          <w:sz w:val="32"/>
          <w:szCs w:val="32"/>
        </w:rPr>
      </w:pPr>
      <w:bookmarkStart w:id="0" w:name="_Toc20565"/>
      <w:bookmarkStart w:id="1" w:name="_Toc10129"/>
      <w:bookmarkStart w:id="2" w:name="_Toc30436"/>
      <w:bookmarkStart w:id="3" w:name="_Toc32461"/>
      <w:bookmarkStart w:id="4" w:name="_Toc2509"/>
      <w:bookmarkStart w:id="5" w:name="_Toc13421"/>
      <w:bookmarkStart w:id="6" w:name="_Toc11397"/>
      <w:bookmarkStart w:id="7" w:name="_Toc15481"/>
      <w:bookmarkStart w:id="8" w:name="_Toc18767"/>
      <w:bookmarkStart w:id="9" w:name="_Toc4795"/>
      <w:bookmarkStart w:id="10" w:name="_Toc22810"/>
      <w:bookmarkStart w:id="11" w:name="_Toc9114"/>
      <w:bookmarkStart w:id="12" w:name="_Toc32100"/>
      <w:bookmarkStart w:id="13" w:name="_Toc31063"/>
      <w:bookmarkStart w:id="14" w:name="_Toc17250"/>
      <w:bookmarkStart w:id="15" w:name="_Toc17951"/>
      <w:bookmarkStart w:id="16" w:name="_Toc20636"/>
      <w:bookmarkStart w:id="17" w:name="_Toc30086"/>
      <w:bookmarkStart w:id="18" w:name="_Toc8933"/>
      <w:bookmarkStart w:id="19" w:name="_Toc28112"/>
      <w:bookmarkStart w:id="20" w:name="_Toc2402"/>
      <w:bookmarkStart w:id="21" w:name="_Toc16673"/>
      <w:bookmarkStart w:id="22" w:name="_Toc9519"/>
      <w:bookmarkStart w:id="23" w:name="_Toc20124"/>
      <w:bookmarkStart w:id="24" w:name="_Toc9557"/>
      <w:bookmarkStart w:id="25" w:name="_Toc21799"/>
      <w:bookmarkStart w:id="26" w:name="_Toc31194"/>
      <w:bookmarkStart w:id="27" w:name="_Toc17206"/>
      <w:bookmarkStart w:id="28" w:name="_Toc7782"/>
      <w:bookmarkStart w:id="29" w:name="_Toc28845"/>
      <w:bookmarkStart w:id="30" w:name="_Toc10299"/>
      <w:bookmarkStart w:id="31" w:name="_Toc1415"/>
      <w:bookmarkStart w:id="32" w:name="_Toc12204"/>
      <w:bookmarkStart w:id="33" w:name="_Toc17873"/>
      <w:bookmarkStart w:id="34" w:name="_Toc13822"/>
      <w:bookmarkStart w:id="35" w:name="_Toc29468"/>
      <w:bookmarkStart w:id="36" w:name="_Toc13377"/>
      <w:bookmarkStart w:id="37" w:name="_Toc436"/>
      <w:bookmarkStart w:id="38" w:name="_Toc6725"/>
      <w:bookmarkStart w:id="39" w:name="_Toc8284"/>
      <w:bookmarkStart w:id="40" w:name="_Toc1869"/>
      <w:bookmarkStart w:id="41" w:name="_Toc5238"/>
      <w:bookmarkStart w:id="42" w:name="_Toc26476"/>
      <w:bookmarkStart w:id="43" w:name="_Toc13797"/>
      <w:bookmarkStart w:id="44" w:name="_Toc4311"/>
      <w:bookmarkStart w:id="45" w:name="_Toc688"/>
      <w:bookmarkStart w:id="46" w:name="_Toc2508"/>
      <w:bookmarkStart w:id="47" w:name="_Toc7812"/>
      <w:bookmarkStart w:id="48" w:name="_Toc19516"/>
      <w:bookmarkStart w:id="49" w:name="_Toc9129"/>
      <w:bookmarkStart w:id="50" w:name="_Toc27154"/>
      <w:bookmarkStart w:id="51" w:name="_Toc2374"/>
      <w:bookmarkStart w:id="52" w:name="_Toc29205"/>
      <w:bookmarkStart w:id="53" w:name="_Toc15435"/>
      <w:bookmarkStart w:id="54" w:name="_Toc28443"/>
      <w:bookmarkStart w:id="55" w:name="_Toc26405"/>
      <w:bookmarkStart w:id="56" w:name="_Toc5354"/>
      <w:bookmarkStart w:id="57" w:name="_Toc29112"/>
      <w:bookmarkStart w:id="58" w:name="_Toc23492"/>
      <w:bookmarkStart w:id="59" w:name="_Toc11675"/>
      <w:bookmarkStart w:id="60" w:name="_Toc25650"/>
      <w:r>
        <w:rPr>
          <w:rFonts w:ascii="仿宋_GB2312" w:eastAsia="仿宋_GB2312" w:hAnsi="仿宋_GB2312" w:cs="仿宋_GB2312" w:hint="eastAsia"/>
          <w:b/>
          <w:bCs/>
          <w:sz w:val="32"/>
          <w:szCs w:val="32"/>
        </w:rPr>
        <w:lastRenderedPageBreak/>
        <w:t>目  录</w:t>
      </w:r>
      <w:bookmarkEnd w:id="0"/>
      <w:bookmarkEnd w:id="1"/>
    </w:p>
    <w:p w:rsidR="00043727" w:rsidRDefault="00DE0E6D">
      <w:pPr>
        <w:pStyle w:val="10"/>
        <w:tabs>
          <w:tab w:val="right" w:leader="dot" w:pos="8845"/>
        </w:tabs>
        <w:adjustRightInd w:val="0"/>
        <w:snapToGrid w:val="0"/>
        <w:spacing w:line="560" w:lineRule="atLeast"/>
        <w:rPr>
          <w:rFonts w:ascii="黑体" w:eastAsia="黑体" w:hAnsi="黑体" w:cs="黑体"/>
          <w:sz w:val="28"/>
          <w:szCs w:val="28"/>
        </w:rPr>
      </w:pPr>
      <w:r>
        <w:rPr>
          <w:rFonts w:ascii="黑体" w:eastAsia="黑体" w:hAnsi="黑体" w:cs="黑体" w:hint="eastAsia"/>
          <w:sz w:val="28"/>
          <w:szCs w:val="28"/>
        </w:rPr>
        <w:fldChar w:fldCharType="begin"/>
      </w:r>
      <w:r w:rsidR="00EF3381">
        <w:rPr>
          <w:rFonts w:ascii="黑体" w:eastAsia="黑体" w:hAnsi="黑体" w:cs="黑体" w:hint="eastAsia"/>
          <w:sz w:val="28"/>
          <w:szCs w:val="28"/>
        </w:rPr>
        <w:instrText xml:space="preserve">TOC \o "1-2" \u </w:instrText>
      </w:r>
      <w:r>
        <w:rPr>
          <w:rFonts w:ascii="黑体" w:eastAsia="黑体" w:hAnsi="黑体" w:cs="黑体" w:hint="eastAsia"/>
          <w:sz w:val="28"/>
          <w:szCs w:val="28"/>
        </w:rPr>
        <w:fldChar w:fldCharType="separate"/>
      </w:r>
      <w:r w:rsidR="00EF3381">
        <w:rPr>
          <w:rFonts w:ascii="黑体" w:eastAsia="黑体" w:hAnsi="黑体" w:cs="黑体" w:hint="eastAsia"/>
          <w:sz w:val="28"/>
          <w:szCs w:val="28"/>
        </w:rPr>
        <w:t>一、规划背景</w:t>
      </w:r>
      <w:r w:rsidR="00EF3381">
        <w:rPr>
          <w:rFonts w:ascii="黑体" w:eastAsia="黑体" w:hAnsi="黑体" w:cs="黑体" w:hint="eastAsia"/>
          <w:sz w:val="28"/>
          <w:szCs w:val="28"/>
        </w:rPr>
        <w:tab/>
      </w:r>
      <w:r>
        <w:rPr>
          <w:rFonts w:ascii="黑体" w:eastAsia="黑体" w:hAnsi="黑体" w:cs="黑体" w:hint="eastAsia"/>
          <w:sz w:val="28"/>
          <w:szCs w:val="28"/>
        </w:rPr>
        <w:fldChar w:fldCharType="begin"/>
      </w:r>
      <w:r w:rsidR="00EF3381">
        <w:rPr>
          <w:rFonts w:ascii="黑体" w:eastAsia="黑体" w:hAnsi="黑体" w:cs="黑体" w:hint="eastAsia"/>
          <w:sz w:val="28"/>
          <w:szCs w:val="28"/>
        </w:rPr>
        <w:instrText xml:space="preserve"> PAGEREF _Toc6961 \h </w:instrText>
      </w:r>
      <w:r>
        <w:rPr>
          <w:rFonts w:ascii="黑体" w:eastAsia="黑体" w:hAnsi="黑体" w:cs="黑体" w:hint="eastAsia"/>
          <w:sz w:val="28"/>
          <w:szCs w:val="28"/>
        </w:rPr>
      </w:r>
      <w:r>
        <w:rPr>
          <w:rFonts w:ascii="黑体" w:eastAsia="黑体" w:hAnsi="黑体" w:cs="黑体" w:hint="eastAsia"/>
          <w:sz w:val="28"/>
          <w:szCs w:val="28"/>
        </w:rPr>
        <w:fldChar w:fldCharType="separate"/>
      </w:r>
      <w:r w:rsidR="00EF3381">
        <w:rPr>
          <w:rFonts w:ascii="黑体" w:eastAsia="黑体" w:hAnsi="黑体" w:cs="黑体" w:hint="eastAsia"/>
          <w:sz w:val="28"/>
          <w:szCs w:val="28"/>
        </w:rPr>
        <w:t>1</w:t>
      </w:r>
      <w:r>
        <w:rPr>
          <w:rFonts w:ascii="黑体" w:eastAsia="黑体" w:hAnsi="黑体" w:cs="黑体"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（一）“十三五”工作成效</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_Toc1319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（二）存在问题</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_Toc27429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5</w:t>
      </w:r>
      <w:r w:rsidR="00DE0E6D">
        <w:rPr>
          <w:rFonts w:ascii="楷体_GB2312" w:eastAsia="楷体_GB2312" w:hAnsi="楷体_GB2312" w:cs="楷体_GB2312" w:hint="eastAsia"/>
          <w:sz w:val="28"/>
          <w:szCs w:val="28"/>
        </w:rPr>
        <w:fldChar w:fldCharType="end"/>
      </w:r>
    </w:p>
    <w:p w:rsidR="00043727" w:rsidRDefault="00EF3381">
      <w:pPr>
        <w:pStyle w:val="10"/>
        <w:tabs>
          <w:tab w:val="right" w:leader="dot" w:pos="8845"/>
        </w:tabs>
        <w:adjustRightInd w:val="0"/>
        <w:snapToGrid w:val="0"/>
        <w:spacing w:line="560" w:lineRule="atLeast"/>
        <w:rPr>
          <w:rFonts w:ascii="黑体" w:eastAsia="黑体" w:hAnsi="黑体" w:cs="黑体"/>
          <w:sz w:val="28"/>
          <w:szCs w:val="28"/>
        </w:rPr>
      </w:pPr>
      <w:r>
        <w:rPr>
          <w:rFonts w:ascii="黑体" w:eastAsia="黑体" w:hAnsi="黑体" w:cs="黑体" w:hint="eastAsia"/>
          <w:sz w:val="28"/>
          <w:szCs w:val="28"/>
        </w:rPr>
        <w:t>二、“十四五”总体要求</w:t>
      </w:r>
      <w:r>
        <w:rPr>
          <w:rFonts w:ascii="黑体" w:eastAsia="黑体" w:hAnsi="黑体" w:cs="黑体" w:hint="eastAsia"/>
          <w:sz w:val="28"/>
          <w:szCs w:val="28"/>
        </w:rPr>
        <w:tab/>
      </w:r>
      <w:r w:rsidR="00DE0E6D">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_Toc14521 \h </w:instrText>
      </w:r>
      <w:r w:rsidR="00DE0E6D">
        <w:rPr>
          <w:rFonts w:ascii="黑体" w:eastAsia="黑体" w:hAnsi="黑体" w:cs="黑体" w:hint="eastAsia"/>
          <w:sz w:val="28"/>
          <w:szCs w:val="28"/>
        </w:rPr>
      </w:r>
      <w:r w:rsidR="00DE0E6D">
        <w:rPr>
          <w:rFonts w:ascii="黑体" w:eastAsia="黑体" w:hAnsi="黑体" w:cs="黑体" w:hint="eastAsia"/>
          <w:sz w:val="28"/>
          <w:szCs w:val="28"/>
        </w:rPr>
        <w:fldChar w:fldCharType="separate"/>
      </w:r>
      <w:r>
        <w:rPr>
          <w:rFonts w:ascii="黑体" w:eastAsia="黑体" w:hAnsi="黑体" w:cs="黑体" w:hint="eastAsia"/>
          <w:sz w:val="28"/>
          <w:szCs w:val="28"/>
        </w:rPr>
        <w:t>6</w:t>
      </w:r>
      <w:r w:rsidR="00DE0E6D">
        <w:rPr>
          <w:rFonts w:ascii="黑体" w:eastAsia="黑体" w:hAnsi="黑体" w:cs="黑体"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（一）指导思想</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_Toc20421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6</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（二）基本原则</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_Toc20470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7</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（三）发展目标</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_Toc29015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7</w:t>
      </w:r>
      <w:r w:rsidR="00DE0E6D">
        <w:rPr>
          <w:rFonts w:ascii="楷体_GB2312" w:eastAsia="楷体_GB2312" w:hAnsi="楷体_GB2312" w:cs="楷体_GB2312" w:hint="eastAsia"/>
          <w:sz w:val="28"/>
          <w:szCs w:val="28"/>
        </w:rPr>
        <w:fldChar w:fldCharType="end"/>
      </w:r>
    </w:p>
    <w:p w:rsidR="00043727" w:rsidRDefault="00EF3381">
      <w:pPr>
        <w:pStyle w:val="10"/>
        <w:tabs>
          <w:tab w:val="right" w:leader="dot" w:pos="8845"/>
        </w:tabs>
        <w:adjustRightInd w:val="0"/>
        <w:snapToGrid w:val="0"/>
        <w:spacing w:line="560" w:lineRule="atLeast"/>
        <w:rPr>
          <w:rFonts w:ascii="黑体" w:eastAsia="黑体" w:hAnsi="黑体" w:cs="黑体"/>
          <w:sz w:val="28"/>
          <w:szCs w:val="28"/>
        </w:rPr>
      </w:pPr>
      <w:r>
        <w:rPr>
          <w:rFonts w:ascii="黑体" w:eastAsia="黑体" w:hAnsi="黑体" w:cs="黑体" w:hint="eastAsia"/>
          <w:sz w:val="28"/>
          <w:szCs w:val="28"/>
        </w:rPr>
        <w:t>三、重点任务</w:t>
      </w:r>
      <w:r>
        <w:rPr>
          <w:rFonts w:ascii="黑体" w:eastAsia="黑体" w:hAnsi="黑体" w:cs="黑体" w:hint="eastAsia"/>
          <w:sz w:val="28"/>
          <w:szCs w:val="28"/>
        </w:rPr>
        <w:tab/>
      </w:r>
      <w:r w:rsidR="00DE0E6D">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_Toc4487 \h </w:instrText>
      </w:r>
      <w:r w:rsidR="00DE0E6D">
        <w:rPr>
          <w:rFonts w:ascii="黑体" w:eastAsia="黑体" w:hAnsi="黑体" w:cs="黑体" w:hint="eastAsia"/>
          <w:sz w:val="28"/>
          <w:szCs w:val="28"/>
        </w:rPr>
      </w:r>
      <w:r w:rsidR="00DE0E6D">
        <w:rPr>
          <w:rFonts w:ascii="黑体" w:eastAsia="黑体" w:hAnsi="黑体" w:cs="黑体" w:hint="eastAsia"/>
          <w:sz w:val="28"/>
          <w:szCs w:val="28"/>
        </w:rPr>
        <w:fldChar w:fldCharType="separate"/>
      </w:r>
      <w:r>
        <w:rPr>
          <w:rFonts w:ascii="黑体" w:eastAsia="黑体" w:hAnsi="黑体" w:cs="黑体" w:hint="eastAsia"/>
          <w:sz w:val="28"/>
          <w:szCs w:val="28"/>
        </w:rPr>
        <w:t>9</w:t>
      </w:r>
      <w:r w:rsidR="00DE0E6D">
        <w:rPr>
          <w:rFonts w:ascii="黑体" w:eastAsia="黑体" w:hAnsi="黑体" w:cs="黑体"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（一）加快建立建筑能耗双控路径</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_Toc9584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9</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（二）积极拓宽建筑节能改造渠道</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_Toc18419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10</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（三）深入发掘既有建筑低碳潜力</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_Toc21151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10</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（四）全面布局绿色建筑发展</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_Toc14904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11</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（五）大力提升建筑绿色健康品质</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_Toc18339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12</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（六）完善绿色建筑监管机制体制</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_Toc8641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12</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（七）提高建筑材料绿色化水平与质量</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_Toc1144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13</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（八）大力推动新型材料绿色建材应用</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_Toc24725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15</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（九）培育壮大新型建筑工业化产业链和人才队伍</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_Toc31012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16</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（十）提升装配式建筑全过程“六化”水平</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_Toc15280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17</w:t>
      </w:r>
      <w:r w:rsidR="00DE0E6D">
        <w:rPr>
          <w:rFonts w:ascii="楷体_GB2312" w:eastAsia="楷体_GB2312" w:hAnsi="楷体_GB2312" w:cs="楷体_GB2312" w:hint="eastAsia"/>
          <w:sz w:val="28"/>
          <w:szCs w:val="28"/>
        </w:rPr>
        <w:fldChar w:fldCharType="end"/>
      </w:r>
    </w:p>
    <w:p w:rsidR="00043727" w:rsidRDefault="00EF3381">
      <w:pPr>
        <w:pStyle w:val="10"/>
        <w:tabs>
          <w:tab w:val="right" w:leader="dot" w:pos="8845"/>
        </w:tabs>
        <w:adjustRightInd w:val="0"/>
        <w:snapToGrid w:val="0"/>
        <w:spacing w:line="560" w:lineRule="atLeast"/>
        <w:rPr>
          <w:rFonts w:ascii="黑体" w:eastAsia="黑体" w:hAnsi="黑体" w:cs="黑体"/>
          <w:sz w:val="28"/>
          <w:szCs w:val="28"/>
        </w:rPr>
      </w:pPr>
      <w:r>
        <w:rPr>
          <w:rFonts w:ascii="黑体" w:eastAsia="黑体" w:hAnsi="黑体" w:cs="黑体" w:hint="eastAsia"/>
          <w:sz w:val="28"/>
          <w:szCs w:val="28"/>
        </w:rPr>
        <w:t>四、保障措施</w:t>
      </w:r>
      <w:r>
        <w:rPr>
          <w:rFonts w:ascii="黑体" w:eastAsia="黑体" w:hAnsi="黑体" w:cs="黑体" w:hint="eastAsia"/>
          <w:sz w:val="28"/>
          <w:szCs w:val="28"/>
        </w:rPr>
        <w:tab/>
      </w:r>
      <w:r w:rsidR="00DE0E6D">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_Toc22164 \h </w:instrText>
      </w:r>
      <w:r w:rsidR="00DE0E6D">
        <w:rPr>
          <w:rFonts w:ascii="黑体" w:eastAsia="黑体" w:hAnsi="黑体" w:cs="黑体" w:hint="eastAsia"/>
          <w:sz w:val="28"/>
          <w:szCs w:val="28"/>
        </w:rPr>
      </w:r>
      <w:r w:rsidR="00DE0E6D">
        <w:rPr>
          <w:rFonts w:ascii="黑体" w:eastAsia="黑体" w:hAnsi="黑体" w:cs="黑体" w:hint="eastAsia"/>
          <w:sz w:val="28"/>
          <w:szCs w:val="28"/>
        </w:rPr>
        <w:fldChar w:fldCharType="separate"/>
      </w:r>
      <w:r>
        <w:rPr>
          <w:rFonts w:ascii="黑体" w:eastAsia="黑体" w:hAnsi="黑体" w:cs="黑体" w:hint="eastAsia"/>
          <w:sz w:val="28"/>
          <w:szCs w:val="28"/>
        </w:rPr>
        <w:t>18</w:t>
      </w:r>
      <w:r w:rsidR="00DE0E6D">
        <w:rPr>
          <w:rFonts w:ascii="黑体" w:eastAsia="黑体" w:hAnsi="黑体" w:cs="黑体"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（一）加强组织领导</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_Toc2240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18</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（二）强化目标考核</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_Toc10851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18</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（三）加大政策激励</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_Toc6902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18</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（四）发挥市场作用</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_Toc3832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19</w:t>
      </w:r>
      <w:r w:rsidR="00DE0E6D">
        <w:rPr>
          <w:rFonts w:ascii="楷体_GB2312" w:eastAsia="楷体_GB2312" w:hAnsi="楷体_GB2312" w:cs="楷体_GB2312" w:hint="eastAsia"/>
          <w:sz w:val="28"/>
          <w:szCs w:val="28"/>
        </w:rPr>
        <w:fldChar w:fldCharType="end"/>
      </w:r>
    </w:p>
    <w:p w:rsidR="00043727" w:rsidRDefault="00043727">
      <w:pPr>
        <w:pStyle w:val="21"/>
        <w:tabs>
          <w:tab w:val="right" w:leader="dot" w:pos="8845"/>
        </w:tabs>
        <w:adjustRightInd w:val="0"/>
        <w:snapToGrid w:val="0"/>
        <w:spacing w:line="560" w:lineRule="atLeast"/>
        <w:rPr>
          <w:rFonts w:ascii="楷体_GB2312" w:eastAsia="楷体_GB2312" w:hAnsi="楷体_GB2312" w:cs="楷体_GB2312"/>
          <w:sz w:val="28"/>
          <w:szCs w:val="28"/>
        </w:rPr>
        <w:sectPr w:rsidR="00043727">
          <w:footerReference w:type="default" r:id="rId9"/>
          <w:pgSz w:w="11906" w:h="16838"/>
          <w:pgMar w:top="1440" w:right="1800" w:bottom="1440" w:left="1800" w:header="851" w:footer="992" w:gutter="0"/>
          <w:pgNumType w:start="1"/>
          <w:cols w:space="720"/>
          <w:docGrid w:type="lines" w:linePitch="312"/>
        </w:sectPr>
      </w:pP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lastRenderedPageBreak/>
        <w:t>（五）推进科技创新</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_Toc20269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19</w:t>
      </w:r>
      <w:r w:rsidR="00DE0E6D">
        <w:rPr>
          <w:rFonts w:ascii="楷体_GB2312" w:eastAsia="楷体_GB2312" w:hAnsi="楷体_GB2312" w:cs="楷体_GB2312" w:hint="eastAsia"/>
          <w:sz w:val="28"/>
          <w:szCs w:val="28"/>
        </w:rPr>
        <w:fldChar w:fldCharType="end"/>
      </w:r>
    </w:p>
    <w:p w:rsidR="00043727" w:rsidRDefault="00EF3381">
      <w:pPr>
        <w:pStyle w:val="21"/>
        <w:tabs>
          <w:tab w:val="right" w:leader="dot" w:pos="8845"/>
        </w:tabs>
        <w:adjustRightInd w:val="0"/>
        <w:snapToGrid w:val="0"/>
        <w:spacing w:line="560" w:lineRule="atLeast"/>
        <w:rPr>
          <w:rFonts w:ascii="楷体_GB2312" w:eastAsia="楷体_GB2312" w:hAnsi="楷体_GB2312" w:cs="楷体_GB2312"/>
          <w:sz w:val="28"/>
          <w:szCs w:val="28"/>
        </w:rPr>
      </w:pPr>
      <w:r>
        <w:rPr>
          <w:rFonts w:ascii="楷体_GB2312" w:eastAsia="楷体_GB2312" w:hAnsi="楷体_GB2312" w:cs="楷体_GB2312" w:hint="eastAsia"/>
          <w:sz w:val="28"/>
          <w:szCs w:val="28"/>
        </w:rPr>
        <w:t>（六）做好宣传培训</w:t>
      </w:r>
      <w:r>
        <w:rPr>
          <w:rFonts w:ascii="楷体_GB2312" w:eastAsia="楷体_GB2312" w:hAnsi="楷体_GB2312" w:cs="楷体_GB2312" w:hint="eastAsia"/>
          <w:sz w:val="28"/>
          <w:szCs w:val="28"/>
        </w:rPr>
        <w:tab/>
      </w:r>
      <w:r w:rsidR="00DE0E6D">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PAGEREF _Toc12687 \h </w:instrText>
      </w:r>
      <w:r w:rsidR="00DE0E6D">
        <w:rPr>
          <w:rFonts w:ascii="楷体_GB2312" w:eastAsia="楷体_GB2312" w:hAnsi="楷体_GB2312" w:cs="楷体_GB2312" w:hint="eastAsia"/>
          <w:sz w:val="28"/>
          <w:szCs w:val="28"/>
        </w:rPr>
      </w:r>
      <w:r w:rsidR="00DE0E6D">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20</w:t>
      </w:r>
      <w:r w:rsidR="00DE0E6D">
        <w:rPr>
          <w:rFonts w:ascii="楷体_GB2312" w:eastAsia="楷体_GB2312" w:hAnsi="楷体_GB2312" w:cs="楷体_GB2312" w:hint="eastAsia"/>
          <w:sz w:val="28"/>
          <w:szCs w:val="28"/>
        </w:rPr>
        <w:fldChar w:fldCharType="end"/>
      </w:r>
    </w:p>
    <w:p w:rsidR="00043727" w:rsidRDefault="00EF3381">
      <w:pPr>
        <w:pStyle w:val="10"/>
        <w:tabs>
          <w:tab w:val="right" w:leader="dot" w:pos="8845"/>
        </w:tabs>
        <w:adjustRightInd w:val="0"/>
        <w:snapToGrid w:val="0"/>
        <w:spacing w:line="560" w:lineRule="atLeast"/>
        <w:rPr>
          <w:rFonts w:ascii="黑体" w:eastAsia="黑体" w:hAnsi="黑体" w:cs="黑体"/>
          <w:sz w:val="28"/>
          <w:szCs w:val="28"/>
        </w:rPr>
      </w:pPr>
      <w:r>
        <w:rPr>
          <w:rFonts w:ascii="黑体" w:eastAsia="黑体" w:hAnsi="黑体" w:cs="黑体" w:hint="eastAsia"/>
          <w:sz w:val="28"/>
          <w:szCs w:val="28"/>
        </w:rPr>
        <w:t>附件1 主要工作列表</w:t>
      </w:r>
      <w:r>
        <w:rPr>
          <w:rFonts w:ascii="黑体" w:eastAsia="黑体" w:hAnsi="黑体" w:cs="黑体" w:hint="eastAsia"/>
          <w:sz w:val="28"/>
          <w:szCs w:val="28"/>
        </w:rPr>
        <w:tab/>
      </w:r>
      <w:r w:rsidR="00DE0E6D">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_Toc31319 \h </w:instrText>
      </w:r>
      <w:r w:rsidR="00DE0E6D">
        <w:rPr>
          <w:rFonts w:ascii="黑体" w:eastAsia="黑体" w:hAnsi="黑体" w:cs="黑体" w:hint="eastAsia"/>
          <w:sz w:val="28"/>
          <w:szCs w:val="28"/>
        </w:rPr>
      </w:r>
      <w:r w:rsidR="00DE0E6D">
        <w:rPr>
          <w:rFonts w:ascii="黑体" w:eastAsia="黑体" w:hAnsi="黑体" w:cs="黑体" w:hint="eastAsia"/>
          <w:sz w:val="28"/>
          <w:szCs w:val="28"/>
        </w:rPr>
        <w:fldChar w:fldCharType="separate"/>
      </w:r>
      <w:r>
        <w:rPr>
          <w:rFonts w:ascii="黑体" w:eastAsia="黑体" w:hAnsi="黑体" w:cs="黑体" w:hint="eastAsia"/>
          <w:sz w:val="28"/>
          <w:szCs w:val="28"/>
        </w:rPr>
        <w:t>21</w:t>
      </w:r>
      <w:r w:rsidR="00DE0E6D">
        <w:rPr>
          <w:rFonts w:ascii="黑体" w:eastAsia="黑体" w:hAnsi="黑体" w:cs="黑体" w:hint="eastAsia"/>
          <w:sz w:val="28"/>
          <w:szCs w:val="28"/>
        </w:rPr>
        <w:fldChar w:fldCharType="end"/>
      </w:r>
    </w:p>
    <w:p w:rsidR="00043727" w:rsidRDefault="00EF3381">
      <w:pPr>
        <w:pStyle w:val="10"/>
        <w:tabs>
          <w:tab w:val="right" w:leader="dot" w:pos="8845"/>
        </w:tabs>
        <w:adjustRightInd w:val="0"/>
        <w:snapToGrid w:val="0"/>
        <w:spacing w:line="560" w:lineRule="atLeast"/>
        <w:rPr>
          <w:rFonts w:ascii="黑体" w:eastAsia="黑体" w:hAnsi="黑体" w:cs="黑体"/>
          <w:sz w:val="28"/>
          <w:szCs w:val="28"/>
        </w:rPr>
      </w:pPr>
      <w:r>
        <w:rPr>
          <w:rFonts w:ascii="黑体" w:eastAsia="黑体" w:hAnsi="黑体" w:cs="黑体" w:hint="eastAsia"/>
          <w:sz w:val="28"/>
          <w:szCs w:val="28"/>
        </w:rPr>
        <w:t>附件2 各镇街目标分解表</w:t>
      </w:r>
      <w:r>
        <w:rPr>
          <w:rFonts w:ascii="黑体" w:eastAsia="黑体" w:hAnsi="黑体" w:cs="黑体" w:hint="eastAsia"/>
          <w:sz w:val="28"/>
          <w:szCs w:val="28"/>
        </w:rPr>
        <w:tab/>
      </w:r>
      <w:r w:rsidR="00DE0E6D">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_Toc1387 \h </w:instrText>
      </w:r>
      <w:r w:rsidR="00DE0E6D">
        <w:rPr>
          <w:rFonts w:ascii="黑体" w:eastAsia="黑体" w:hAnsi="黑体" w:cs="黑体" w:hint="eastAsia"/>
          <w:sz w:val="28"/>
          <w:szCs w:val="28"/>
        </w:rPr>
      </w:r>
      <w:r w:rsidR="00DE0E6D">
        <w:rPr>
          <w:rFonts w:ascii="黑体" w:eastAsia="黑体" w:hAnsi="黑体" w:cs="黑体" w:hint="eastAsia"/>
          <w:sz w:val="28"/>
          <w:szCs w:val="28"/>
        </w:rPr>
        <w:fldChar w:fldCharType="separate"/>
      </w:r>
      <w:r>
        <w:rPr>
          <w:rFonts w:ascii="黑体" w:eastAsia="黑体" w:hAnsi="黑体" w:cs="黑体" w:hint="eastAsia"/>
          <w:sz w:val="28"/>
          <w:szCs w:val="28"/>
        </w:rPr>
        <w:t>24</w:t>
      </w:r>
      <w:r w:rsidR="00DE0E6D">
        <w:rPr>
          <w:rFonts w:ascii="黑体" w:eastAsia="黑体" w:hAnsi="黑体" w:cs="黑体" w:hint="eastAsia"/>
          <w:sz w:val="28"/>
          <w:szCs w:val="28"/>
        </w:rPr>
        <w:fldChar w:fldCharType="end"/>
      </w:r>
    </w:p>
    <w:p w:rsidR="00043727" w:rsidRDefault="00DE0E6D">
      <w:pPr>
        <w:pStyle w:val="10"/>
        <w:tabs>
          <w:tab w:val="right" w:leader="dot" w:pos="8845"/>
        </w:tabs>
        <w:adjustRightInd w:val="0"/>
        <w:snapToGrid w:val="0"/>
        <w:spacing w:line="560" w:lineRule="atLeast"/>
      </w:pPr>
      <w:r>
        <w:rPr>
          <w:rFonts w:ascii="黑体" w:eastAsia="黑体" w:hAnsi="黑体" w:cs="黑体" w:hint="eastAsia"/>
          <w:sz w:val="28"/>
          <w:szCs w:val="28"/>
        </w:rPr>
        <w:fldChar w:fldCharType="end"/>
      </w:r>
    </w:p>
    <w:p w:rsidR="00043727" w:rsidRDefault="00043727">
      <w:pPr>
        <w:pStyle w:val="10"/>
        <w:tabs>
          <w:tab w:val="right" w:leader="dot" w:pos="8306"/>
        </w:tabs>
        <w:rPr>
          <w:sz w:val="28"/>
          <w:szCs w:val="28"/>
        </w:rPr>
      </w:pPr>
    </w:p>
    <w:p w:rsidR="00043727" w:rsidRDefault="00043727">
      <w:pPr>
        <w:pStyle w:val="BodyTextIndent2"/>
        <w:ind w:leftChars="0" w:left="0"/>
        <w:sectPr w:rsidR="00043727">
          <w:footerReference w:type="default" r:id="rId10"/>
          <w:pgSz w:w="11906" w:h="16838"/>
          <w:pgMar w:top="1440" w:right="1800" w:bottom="1440" w:left="1800" w:header="851" w:footer="992" w:gutter="0"/>
          <w:pgNumType w:start="1"/>
          <w:cols w:space="720"/>
          <w:docGrid w:type="lines" w:linePitch="312"/>
        </w:sectPr>
      </w:pPr>
    </w:p>
    <w:p w:rsidR="00043727" w:rsidRDefault="00EF3381">
      <w:pPr>
        <w:adjustRightInd w:val="0"/>
        <w:snapToGrid w:val="0"/>
        <w:spacing w:line="600" w:lineRule="exact"/>
        <w:ind w:firstLineChars="200" w:firstLine="640"/>
        <w:jc w:val="left"/>
        <w:rPr>
          <w:rFonts w:ascii="仿宋_GB2312" w:eastAsia="仿宋_GB2312" w:hAnsi="仿宋_GB2312" w:cs="仿宋_GB2312"/>
          <w:sz w:val="32"/>
          <w:szCs w:val="32"/>
        </w:rPr>
      </w:pPr>
      <w:bookmarkStart w:id="61" w:name="_Toc28574"/>
      <w:bookmarkStart w:id="62" w:name="_Toc16812"/>
      <w:bookmarkStart w:id="63" w:name="_Toc11135"/>
      <w:bookmarkStart w:id="64" w:name="_Toc19719"/>
      <w:r>
        <w:rPr>
          <w:rFonts w:ascii="仿宋_GB2312" w:eastAsia="仿宋_GB2312" w:hAnsi="仿宋_GB2312" w:cs="仿宋_GB2312" w:hint="eastAsia"/>
          <w:sz w:val="32"/>
          <w:szCs w:val="32"/>
        </w:rPr>
        <w:lastRenderedPageBreak/>
        <w:t>为全面贯彻新发展理念，促进建筑业转型升级，提高城乡人居环境水平，推动城乡建设高质量发展，根据《广东省建筑节能与绿色建筑发展“十四五”规划》、《东莞市国民经济和社会发展第十四个五年规划和2035年远景目标纲要》及城乡建设领域碳达峰碳中和等有关文件要求，结合我市实际，制定本规划。</w:t>
      </w:r>
    </w:p>
    <w:p w:rsidR="00043727" w:rsidRDefault="00EF3381">
      <w:pPr>
        <w:adjustRightInd w:val="0"/>
        <w:snapToGrid w:val="0"/>
        <w:spacing w:line="600" w:lineRule="exact"/>
        <w:ind w:firstLineChars="200" w:firstLine="640"/>
        <w:outlineLvl w:val="0"/>
        <w:rPr>
          <w:rFonts w:ascii="黑体" w:eastAsia="黑体" w:hAnsi="黑体" w:cs="黑体"/>
          <w:sz w:val="32"/>
          <w:szCs w:val="32"/>
        </w:rPr>
      </w:pPr>
      <w:bookmarkStart w:id="65" w:name="_Toc6961"/>
      <w:r>
        <w:rPr>
          <w:rFonts w:ascii="黑体" w:eastAsia="黑体" w:hAnsi="黑体" w:cs="黑体" w:hint="eastAsia"/>
          <w:sz w:val="32"/>
          <w:szCs w:val="32"/>
        </w:rPr>
        <w:t>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r>
        <w:rPr>
          <w:rFonts w:ascii="黑体" w:eastAsia="黑体" w:hAnsi="黑体" w:cs="黑体" w:hint="eastAsia"/>
          <w:sz w:val="32"/>
          <w:szCs w:val="32"/>
        </w:rPr>
        <w:t>规划背景</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66" w:name="_Toc22992"/>
      <w:bookmarkStart w:id="67" w:name="_Toc2791"/>
      <w:bookmarkStart w:id="68" w:name="_Toc20191"/>
      <w:bookmarkStart w:id="69" w:name="_Toc6997"/>
      <w:bookmarkStart w:id="70" w:name="_Toc23875"/>
      <w:bookmarkStart w:id="71" w:name="_Toc8218"/>
      <w:bookmarkStart w:id="72" w:name="_Toc23448"/>
      <w:bookmarkStart w:id="73" w:name="_Toc16020"/>
      <w:bookmarkStart w:id="74" w:name="_Toc1319"/>
      <w:bookmarkStart w:id="75" w:name="_Toc8373"/>
      <w:bookmarkStart w:id="76" w:name="_Toc241"/>
      <w:bookmarkStart w:id="77" w:name="_Toc32020"/>
      <w:bookmarkStart w:id="78" w:name="_Toc13561"/>
      <w:bookmarkStart w:id="79" w:name="_Toc22911"/>
      <w:bookmarkStart w:id="80" w:name="_Toc12155"/>
      <w:bookmarkStart w:id="81" w:name="_Toc23752"/>
      <w:bookmarkStart w:id="82" w:name="_Toc8253"/>
      <w:bookmarkStart w:id="83" w:name="_Toc29819"/>
      <w:bookmarkStart w:id="84" w:name="_Toc26604"/>
      <w:bookmarkStart w:id="85" w:name="_Toc7005"/>
      <w:bookmarkStart w:id="86" w:name="_Toc10641"/>
      <w:bookmarkStart w:id="87" w:name="_Toc10790"/>
      <w:bookmarkStart w:id="88" w:name="_Toc4830"/>
      <w:bookmarkStart w:id="89" w:name="_Toc21221"/>
      <w:bookmarkStart w:id="90" w:name="_Toc25980"/>
      <w:bookmarkStart w:id="91" w:name="_Toc27143"/>
      <w:bookmarkStart w:id="92" w:name="_Toc32021"/>
      <w:bookmarkStart w:id="93" w:name="_Toc26211"/>
      <w:bookmarkStart w:id="94" w:name="_Toc2416"/>
      <w:bookmarkStart w:id="95" w:name="_Toc8488"/>
      <w:bookmarkStart w:id="96" w:name="_Toc4251"/>
      <w:bookmarkStart w:id="97" w:name="_Toc20914"/>
      <w:bookmarkStart w:id="98" w:name="_Toc27207"/>
      <w:bookmarkStart w:id="99" w:name="_Toc20217"/>
      <w:bookmarkStart w:id="100" w:name="_Toc8578"/>
      <w:bookmarkStart w:id="101" w:name="_Toc15008"/>
      <w:bookmarkStart w:id="102" w:name="_Toc18121"/>
      <w:bookmarkStart w:id="103" w:name="_Toc17980"/>
      <w:bookmarkStart w:id="104" w:name="_Toc18592"/>
      <w:bookmarkStart w:id="105" w:name="_Toc837"/>
      <w:bookmarkStart w:id="106" w:name="_Toc13164"/>
      <w:bookmarkStart w:id="107" w:name="_Toc4235"/>
      <w:bookmarkStart w:id="108" w:name="_Toc2215"/>
      <w:bookmarkStart w:id="109" w:name="_Toc16861"/>
      <w:bookmarkStart w:id="110" w:name="_Toc23927"/>
      <w:bookmarkStart w:id="111" w:name="_Toc12574"/>
      <w:bookmarkStart w:id="112" w:name="_Toc8571"/>
      <w:bookmarkStart w:id="113" w:name="_Toc4615"/>
      <w:bookmarkStart w:id="114" w:name="_Toc31841"/>
      <w:bookmarkStart w:id="115" w:name="_Toc21305"/>
      <w:bookmarkStart w:id="116" w:name="_Toc18054"/>
      <w:bookmarkStart w:id="117" w:name="_Toc442"/>
      <w:bookmarkStart w:id="118" w:name="_Toc3567"/>
      <w:bookmarkStart w:id="119" w:name="_Toc13862"/>
      <w:bookmarkStart w:id="120" w:name="_Toc377"/>
      <w:bookmarkStart w:id="121" w:name="_Toc19566"/>
      <w:bookmarkStart w:id="122" w:name="_Toc30664"/>
      <w:bookmarkStart w:id="123" w:name="_Toc11495"/>
      <w:bookmarkStart w:id="124" w:name="_Toc12011"/>
      <w:bookmarkStart w:id="125" w:name="_Toc5933"/>
      <w:bookmarkStart w:id="126" w:name="_Toc24696"/>
      <w:bookmarkStart w:id="127" w:name="_Toc24157"/>
      <w:bookmarkStart w:id="128" w:name="_Toc21332"/>
      <w:bookmarkStart w:id="129" w:name="_Toc5573"/>
      <w:r>
        <w:rPr>
          <w:rFonts w:ascii="楷体_GB2312" w:eastAsia="楷体_GB2312" w:hAnsi="楷体_GB2312" w:cs="楷体_GB2312" w:hint="eastAsia"/>
          <w:sz w:val="32"/>
          <w:szCs w:val="32"/>
        </w:rPr>
        <w:t>（一）“十三五”工作成效</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rsidR="00043727" w:rsidRDefault="00EF3381">
      <w:pPr>
        <w:adjustRightInd w:val="0"/>
        <w:snapToGrid w:val="0"/>
        <w:spacing w:line="600" w:lineRule="exact"/>
        <w:ind w:firstLineChars="200" w:firstLine="643"/>
        <w:outlineLvl w:val="2"/>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1.建筑节能水平稳步提高</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建建筑能效稳步提高。“十三五”期间我市新建建筑设计、施工阶段100%执行节能强制性标准。发布实施《东莞市“十三五”建筑节能与绿色建筑发展规划》，每年发布东莞市建筑节能与绿色建筑发展工作计划，并对各园区、镇街下达既有建筑节能改造目标任务和可再生能源建筑应用目标任务。“十三五”期间共新增节能建筑总面积5641.77万平方米。</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既有建筑节能水平稳步提升。“十三五”期间，我市建筑能耗监测云平台中心不断完善，国家机关办公建筑和大型公共建筑持续纳入监测云平台系统，完成了1554栋建筑能耗统计，30栋能源审计，898栋能耗公示。积极推动既有居住建筑节能改造，“十三五”期间，我市既有建筑节能改造面积达到420万平方米。</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可再生能源建筑应用深入推进。2017年，我市发布《东</w:t>
      </w:r>
      <w:r>
        <w:rPr>
          <w:rFonts w:ascii="仿宋_GB2312" w:eastAsia="仿宋_GB2312" w:hAnsi="仿宋_GB2312" w:cs="仿宋_GB2312" w:hint="eastAsia"/>
          <w:sz w:val="32"/>
          <w:szCs w:val="32"/>
        </w:rPr>
        <w:lastRenderedPageBreak/>
        <w:t>莞市节约能源“十三五”规划（2016-2020年）的通知》（东经信〔2017〕268号），推动可再生能源技术的实际应用。“十三五”期间，东莞市加大太阳能、空气源、水源、余热等可再生能源在建筑中的规模化应用，可再生能源建筑应用规模增长明显。新增太阳能光电建筑装机容量76兆瓦、新增太阳能光热建筑应用面积371万平方米。</w:t>
      </w:r>
    </w:p>
    <w:p w:rsidR="00043727" w:rsidRDefault="00EF3381">
      <w:pPr>
        <w:adjustRightInd w:val="0"/>
        <w:snapToGrid w:val="0"/>
        <w:spacing w:line="600" w:lineRule="exact"/>
        <w:ind w:firstLineChars="200" w:firstLine="643"/>
        <w:outlineLvl w:val="2"/>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2.绿色建筑发展迅速</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绿色建筑发展相关政策法规和技术标准不断完善。发布《关于进一步推进我市规模化发展绿色建筑的通知》（东建节能〔2016〕16号）、《关于贯彻落实&lt;广东省绿色建筑量质齐升三年行动方案（2018-2020年）&gt;的通知》（东建节能〔2018〕27号）和《关于转发&lt;广东省绿色建筑设计施工图审查要点（试行）&gt;的通知》（东建节能〔2016〕12号），发布实施《东莞市绿色建筑一星级评价导则》，全市定期开展绿色建筑专项培训，绿色建筑规划、设计、图审、施工、验收全过程监管不断强化。</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绿色建筑量质齐升成效显著。“十三五”时期，新建绿色建筑总建筑面积超过3100万平方米，大幅超过新增1200万平方米绿色建筑的任务目标，城镇绿色建筑占新建建筑比例逐年递增，2020年达到69%。二星级及以上新建绿色建筑面积约145万平方米，运行阶段绿色建筑面积约131.3万平方米，高星级绿色建筑和运行阶段绿色建筑建筑面积呈现稳步增长的趋势，建成了麦德龙东莞商场、凤岗理光办公自动</w:t>
      </w:r>
      <w:r>
        <w:rPr>
          <w:rFonts w:ascii="仿宋_GB2312" w:eastAsia="仿宋_GB2312" w:hAnsi="仿宋_GB2312" w:cs="仿宋_GB2312" w:hint="eastAsia"/>
          <w:sz w:val="32"/>
          <w:szCs w:val="32"/>
        </w:rPr>
        <w:lastRenderedPageBreak/>
        <w:t>化设备项目等高星级绿色建筑示范项目。</w:t>
      </w:r>
    </w:p>
    <w:p w:rsidR="00043727" w:rsidRDefault="00EF3381">
      <w:pPr>
        <w:adjustRightInd w:val="0"/>
        <w:snapToGrid w:val="0"/>
        <w:spacing w:line="600" w:lineRule="exact"/>
        <w:ind w:firstLineChars="200" w:firstLine="643"/>
        <w:outlineLvl w:val="2"/>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3.新型墙材和散装水泥广泛应用</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禁实限粘、搅拌站绿色生产工作扎实。发布了《关于推广应用新型墙体材料有关事项的通知》（东建节能〔2018〕12 号）等地方政策文件。“禁实限粘”工作进一步深化，全市新建项目禁止使用实心粘土砖，限制使用粘土类墙材制品，城镇新建建筑中全面普及推广新型墙材，2020年，新型墙材在城镇新建建筑的应用比例为100%，顺利完成“十三五”发展目标。</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质量监管进一步强化。“十三五”期间，东莞市强化散装水泥、新型墙体材料应用管理，加强日常核查工作。通过对在建项目开展随机抽查、执行墙材产品标识及供应登记制度、对工程项目和生产企业实施质量抽检、严厉打击弄虚作假逃避监管行为等措施，实施全方位监管。</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绿色建材信息化形成突破。正式启用了“东莞市新型墙材企业信息管理系统”及“东莞市预拌混凝土质量动态监管信息系统”，预拌混凝土生产企业全面开展电子标签植入工作。强化新型墙体材料及预拌混凝土应用管理，加强日常核查工作。</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绿色发展理念深入贯彻。进一步贯彻落实《关于印发&lt;东莞市预拌（商品）混凝土质量管理规定&gt;的通知》(东建〔2004〕59号)、 《关于进一步加强对预拌混凝土质量管理的通知》（东建〔2004〕75号）、《关于切实加强预拌混凝</w:t>
      </w:r>
      <w:r>
        <w:rPr>
          <w:rFonts w:ascii="仿宋_GB2312" w:eastAsia="仿宋_GB2312" w:hAnsi="仿宋_GB2312" w:cs="仿宋_GB2312" w:hint="eastAsia"/>
          <w:sz w:val="32"/>
          <w:szCs w:val="32"/>
        </w:rPr>
        <w:lastRenderedPageBreak/>
        <w:t>土企业管理的通知》（东建质安〔2008〕54号）、《关于加强预拌混凝土生产企业绿色生产管理的通知》（东建质安〔2015〕215号）、《关于东莞市预拌混凝土企业绿色生产达标考核工作有关事项的通知》(东建质安〔2018〕25号)等一系列标准、规划和政策。开展预拌混凝土生产企业绿色改造工作，与科研机构合作，完成了《东莞市建筑余泥渣土和河涌淤泥资源化利用》课题研究。</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“十三五”期间，散装水泥供应量约921万吨，预拌混凝土使用量约4568万立方米，预拌砂浆使用量约65万吨。全市预拌混凝土绿色生产企业占比达到100%，预拌混凝土生产企业全面实现绿色生产及管理。</w:t>
      </w:r>
    </w:p>
    <w:p w:rsidR="00043727" w:rsidRDefault="00EF3381">
      <w:pPr>
        <w:adjustRightInd w:val="0"/>
        <w:snapToGrid w:val="0"/>
        <w:spacing w:line="600" w:lineRule="exact"/>
        <w:ind w:firstLineChars="200" w:firstLine="643"/>
        <w:outlineLvl w:val="2"/>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4.装配式建筑持续发展</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装配式建筑发展政策深入推进。“十三五”期间，我市陆续发布了《东莞市人民政府办公室关于印发&lt;东莞市人民政府关于大力发展装配式建筑的实施意见&gt;的通知》（东府办〔2017〕103号）、《关于应用&lt;装配式建筑评价标准&gt;若干事项的通知》（东建节能〔2018〕15号）、关于印发《东莞市装配式建筑专项规划（2020—2025）》的通知（东建节能〔2020〕1号）、《关于开展装配式建筑项目预评价工作的通知》（东建节能〔2020〕3号）等政策和技术文件，提出了装配式建筑“十三五”发展目标、技术方向、实施路径和组织保障等，明确各部门在发展装配式建筑中的职责，稳步推进东莞市装配式建筑发展。</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装配式产业基地和装配式建筑项目建设活跃。建成中建科技、建安住工、润阳智造、广胜达、常胜建科、通洲等一批预制构件、装配式模板、装配式墙板研发生产企业。金悦花园、天悦家园、虎门港坭洲岛公租房、华阳国际现代建筑产业中心1号厂房四个项目被评为广东省装配式建筑示范项目，广东中建新型建筑构件有限公司、东莞市润阳联合智造有限公司、东莞市建安住宅工业有限公司、华科住宅工业（东莞）有限公司、广东常胜建筑科技有限公司、东莞市建筑科学研究院有限公司被评为广东装配式产业基地。</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130" w:name="_Toc14916"/>
      <w:bookmarkStart w:id="131" w:name="_Toc785"/>
      <w:bookmarkStart w:id="132" w:name="_Toc4252"/>
      <w:bookmarkStart w:id="133" w:name="_Toc27509"/>
      <w:bookmarkStart w:id="134" w:name="_Toc27318"/>
      <w:bookmarkStart w:id="135" w:name="_Toc14511"/>
      <w:bookmarkStart w:id="136" w:name="_Toc22023"/>
      <w:bookmarkStart w:id="137" w:name="_Toc19471"/>
      <w:bookmarkStart w:id="138" w:name="_Toc19562"/>
      <w:bookmarkStart w:id="139" w:name="_Toc1561"/>
      <w:bookmarkStart w:id="140" w:name="_Toc23546"/>
      <w:bookmarkStart w:id="141" w:name="_Toc30147"/>
      <w:bookmarkStart w:id="142" w:name="_Toc16402"/>
      <w:bookmarkStart w:id="143" w:name="_Toc6002"/>
      <w:bookmarkStart w:id="144" w:name="_Toc22526"/>
      <w:bookmarkStart w:id="145" w:name="_Toc304"/>
      <w:bookmarkStart w:id="146" w:name="_Toc2521"/>
      <w:bookmarkStart w:id="147" w:name="_Toc31957"/>
      <w:bookmarkStart w:id="148" w:name="_Toc4789"/>
      <w:bookmarkStart w:id="149" w:name="_Toc29896"/>
      <w:bookmarkStart w:id="150" w:name="_Toc4818"/>
      <w:bookmarkStart w:id="151" w:name="_Toc5300"/>
      <w:bookmarkStart w:id="152" w:name="_Toc28570"/>
      <w:bookmarkStart w:id="153" w:name="_Toc23243"/>
      <w:bookmarkStart w:id="154" w:name="_Toc23433"/>
      <w:bookmarkStart w:id="155" w:name="_Toc22118"/>
      <w:bookmarkStart w:id="156" w:name="_Toc22684"/>
      <w:bookmarkStart w:id="157" w:name="_Toc20501"/>
      <w:bookmarkStart w:id="158" w:name="_Toc28473"/>
      <w:bookmarkStart w:id="159" w:name="_Toc30079"/>
      <w:bookmarkStart w:id="160" w:name="_Toc10717"/>
      <w:bookmarkStart w:id="161" w:name="_Toc26992"/>
      <w:bookmarkStart w:id="162" w:name="_Toc29327"/>
      <w:bookmarkStart w:id="163" w:name="_Toc10928"/>
      <w:bookmarkStart w:id="164" w:name="_Toc27600"/>
      <w:bookmarkStart w:id="165" w:name="_Toc8738"/>
      <w:bookmarkStart w:id="166" w:name="_Toc29359"/>
      <w:bookmarkStart w:id="167" w:name="_Toc14154"/>
      <w:bookmarkStart w:id="168" w:name="_Toc11059"/>
      <w:bookmarkStart w:id="169" w:name="_Toc14643"/>
      <w:bookmarkStart w:id="170" w:name="_Toc11034"/>
      <w:bookmarkStart w:id="171" w:name="_Toc18415"/>
      <w:bookmarkStart w:id="172" w:name="_Toc27429"/>
      <w:bookmarkStart w:id="173" w:name="_Toc30908"/>
      <w:bookmarkStart w:id="174" w:name="_Toc30154"/>
      <w:bookmarkStart w:id="175" w:name="_Toc21141"/>
      <w:bookmarkStart w:id="176" w:name="_Toc7459"/>
      <w:bookmarkStart w:id="177" w:name="_Toc12265"/>
      <w:bookmarkStart w:id="178" w:name="_Toc10408"/>
      <w:bookmarkStart w:id="179" w:name="_Toc17872"/>
      <w:bookmarkStart w:id="180" w:name="_Toc24648"/>
      <w:bookmarkStart w:id="181" w:name="_Toc2997"/>
      <w:bookmarkStart w:id="182" w:name="_Toc19544"/>
      <w:bookmarkStart w:id="183" w:name="_Toc17549"/>
      <w:bookmarkStart w:id="184" w:name="_Toc1015"/>
      <w:bookmarkStart w:id="185" w:name="_Toc237"/>
      <w:bookmarkStart w:id="186" w:name="_Toc8196"/>
      <w:bookmarkStart w:id="187" w:name="_Toc10421"/>
      <w:bookmarkStart w:id="188" w:name="_Toc23724"/>
      <w:bookmarkStart w:id="189" w:name="_Toc333"/>
      <w:bookmarkStart w:id="190" w:name="_Toc20489"/>
      <w:bookmarkStart w:id="191" w:name="_Toc19315"/>
      <w:bookmarkStart w:id="192" w:name="_Toc11070"/>
      <w:bookmarkStart w:id="193" w:name="_Toc28121"/>
      <w:r>
        <w:rPr>
          <w:rFonts w:ascii="楷体_GB2312" w:eastAsia="楷体_GB2312" w:hAnsi="楷体_GB2312" w:cs="楷体_GB2312" w:hint="eastAsia"/>
          <w:sz w:val="32"/>
          <w:szCs w:val="32"/>
        </w:rPr>
        <w:t>（二）存在问题</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043727" w:rsidRDefault="00EF3381">
      <w:pPr>
        <w:adjustRightInd w:val="0"/>
        <w:snapToGrid w:val="0"/>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政策及产业支撑不足。</w:t>
      </w:r>
      <w:r>
        <w:rPr>
          <w:rFonts w:ascii="仿宋_GB2312" w:eastAsia="仿宋_GB2312" w:hAnsi="仿宋_GB2312" w:cs="仿宋_GB2312" w:hint="eastAsia"/>
          <w:sz w:val="32"/>
          <w:szCs w:val="32"/>
        </w:rPr>
        <w:t>东莞市绿色建筑相关工作考核机制需进一步完善，散装水泥、绿色建材等法律法规和政策标准有待完善。高质量发展绿色建筑缺少内在动力。同时，缺乏相关的激励政策，建设单位实施高星级运行标识绿色建筑的积极性不足。装配式建筑标准化设计、构件生产基地规模、装配式施工水平有待进一步提高。绿色建材发展缺乏相关配套政策措施，绿色建材推广应用机制尚未建立，在推广工作中缺少有力的抓手。</w:t>
      </w:r>
    </w:p>
    <w:p w:rsidR="00043727" w:rsidRDefault="00EF3381">
      <w:pPr>
        <w:adjustRightInd w:val="0"/>
        <w:snapToGrid w:val="0"/>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市场主体作用发挥不明显。</w:t>
      </w:r>
      <w:r>
        <w:rPr>
          <w:rFonts w:ascii="仿宋_GB2312" w:eastAsia="仿宋_GB2312" w:hAnsi="仿宋_GB2312" w:cs="仿宋_GB2312" w:hint="eastAsia"/>
          <w:sz w:val="32"/>
          <w:szCs w:val="32"/>
        </w:rPr>
        <w:t>现阶段发展绿色建筑主要依靠政府引导推广，房地产开发企业对绿色建筑的成本投入主动性不强，物业服务企业的绿色建筑运营管理能力有待加强，市场机制有待培育。部分企业将实施绿色建筑、装配式建筑视为任务、负担，在进行项目建设时仅仅是为了达到政</w:t>
      </w:r>
      <w:r>
        <w:rPr>
          <w:rFonts w:ascii="仿宋_GB2312" w:eastAsia="仿宋_GB2312" w:hAnsi="仿宋_GB2312" w:cs="仿宋_GB2312" w:hint="eastAsia"/>
          <w:sz w:val="32"/>
          <w:szCs w:val="32"/>
        </w:rPr>
        <w:lastRenderedPageBreak/>
        <w:t>策要求，未能实现市场需求驱动。利用市场手段推进重点耗能建筑实施既有建筑节能改造难度加大，建筑碳交易市场尚未建立。</w:t>
      </w:r>
    </w:p>
    <w:p w:rsidR="00043727" w:rsidRDefault="00EF3381">
      <w:pPr>
        <w:adjustRightInd w:val="0"/>
        <w:snapToGrid w:val="0"/>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人民群众获得感不强。</w:t>
      </w:r>
      <w:r>
        <w:rPr>
          <w:rFonts w:ascii="仿宋_GB2312" w:eastAsia="仿宋_GB2312" w:hAnsi="仿宋_GB2312" w:cs="仿宋_GB2312" w:hint="eastAsia"/>
          <w:sz w:val="32"/>
          <w:szCs w:val="32"/>
        </w:rPr>
        <w:t>绿色建筑标准执行水平与质量有待提高，适应项目实际的绿色建筑技术水平有待提升。部分项目“重设计、轻运行”导致实际运行效果不尽人意，建筑管理和使用者普遍对绿色建筑的了解认识不够，对绿色设施设备使用维护的引导、培训缺失。绿色建筑的优势未能很好发挥，装配式建筑的接受度不强。绿色建筑技术指标体系、标识监督机制还需进一步贴合使用者的感受和需求。</w:t>
      </w:r>
    </w:p>
    <w:p w:rsidR="00043727" w:rsidRDefault="00EF3381">
      <w:pPr>
        <w:adjustRightInd w:val="0"/>
        <w:snapToGrid w:val="0"/>
        <w:spacing w:line="600" w:lineRule="exact"/>
        <w:ind w:firstLineChars="200" w:firstLine="640"/>
        <w:outlineLvl w:val="0"/>
        <w:rPr>
          <w:rFonts w:ascii="黑体" w:eastAsia="黑体" w:hAnsi="黑体" w:cs="黑体"/>
          <w:sz w:val="32"/>
          <w:szCs w:val="32"/>
        </w:rPr>
      </w:pPr>
      <w:bookmarkStart w:id="194" w:name="_Toc31703"/>
      <w:bookmarkStart w:id="195" w:name="_Toc4411"/>
      <w:bookmarkStart w:id="196" w:name="_Toc21558"/>
      <w:bookmarkStart w:id="197" w:name="_Toc11111"/>
      <w:bookmarkStart w:id="198" w:name="_Toc30338"/>
      <w:bookmarkStart w:id="199" w:name="_Toc1249"/>
      <w:bookmarkStart w:id="200" w:name="_Toc26071"/>
      <w:bookmarkStart w:id="201" w:name="_Toc8537"/>
      <w:bookmarkStart w:id="202" w:name="_Toc21635"/>
      <w:bookmarkStart w:id="203" w:name="_Toc2257"/>
      <w:bookmarkStart w:id="204" w:name="_Toc10047"/>
      <w:bookmarkStart w:id="205" w:name="_Toc26790"/>
      <w:bookmarkStart w:id="206" w:name="_Toc5996"/>
      <w:bookmarkStart w:id="207" w:name="_Toc17747"/>
      <w:bookmarkStart w:id="208" w:name="_Toc31530"/>
      <w:bookmarkStart w:id="209" w:name="_Toc10442"/>
      <w:bookmarkStart w:id="210" w:name="_Toc19783"/>
      <w:bookmarkStart w:id="211" w:name="_Toc4632"/>
      <w:bookmarkStart w:id="212" w:name="_Toc30211"/>
      <w:bookmarkStart w:id="213" w:name="_Toc25049"/>
      <w:bookmarkStart w:id="214" w:name="_Toc23953"/>
      <w:bookmarkStart w:id="215" w:name="_Toc26077"/>
      <w:bookmarkStart w:id="216" w:name="_Toc7667"/>
      <w:bookmarkStart w:id="217" w:name="_Toc29691"/>
      <w:bookmarkStart w:id="218" w:name="_Toc17049"/>
      <w:bookmarkStart w:id="219" w:name="_Toc24724"/>
      <w:bookmarkStart w:id="220" w:name="_Toc16523"/>
      <w:bookmarkStart w:id="221" w:name="_Toc4268"/>
      <w:bookmarkStart w:id="222" w:name="_Toc12302"/>
      <w:bookmarkStart w:id="223" w:name="_Toc30331"/>
      <w:bookmarkStart w:id="224" w:name="_Toc1219"/>
      <w:bookmarkStart w:id="225" w:name="_Toc12081"/>
      <w:bookmarkStart w:id="226" w:name="_Toc6235"/>
      <w:bookmarkStart w:id="227" w:name="_Toc28776"/>
      <w:bookmarkStart w:id="228" w:name="_Toc12941"/>
      <w:bookmarkStart w:id="229" w:name="_Toc29788"/>
      <w:bookmarkStart w:id="230" w:name="_Toc15254"/>
      <w:bookmarkStart w:id="231" w:name="_Toc30219"/>
      <w:bookmarkStart w:id="232" w:name="_Toc17752"/>
      <w:bookmarkStart w:id="233" w:name="_Toc15658"/>
      <w:bookmarkStart w:id="234" w:name="_Toc19515"/>
      <w:bookmarkStart w:id="235" w:name="_Toc29165"/>
      <w:bookmarkStart w:id="236" w:name="_Toc13661"/>
      <w:bookmarkStart w:id="237" w:name="_Toc20168"/>
      <w:bookmarkStart w:id="238" w:name="_Toc9821"/>
      <w:bookmarkStart w:id="239" w:name="_Toc24296"/>
      <w:bookmarkStart w:id="240" w:name="_Toc4715"/>
      <w:bookmarkStart w:id="241" w:name="_Toc14521"/>
      <w:bookmarkStart w:id="242" w:name="_Toc15787"/>
      <w:bookmarkStart w:id="243" w:name="_Toc910"/>
      <w:bookmarkStart w:id="244" w:name="_Toc23420"/>
      <w:bookmarkStart w:id="245" w:name="_Toc646"/>
      <w:bookmarkStart w:id="246" w:name="_Toc14075"/>
      <w:bookmarkStart w:id="247" w:name="_Toc31453"/>
      <w:bookmarkStart w:id="248" w:name="_Toc6863"/>
      <w:bookmarkStart w:id="249" w:name="_Toc31883"/>
      <w:bookmarkStart w:id="250" w:name="_Toc4903"/>
      <w:bookmarkStart w:id="251" w:name="_Toc6528"/>
      <w:bookmarkStart w:id="252" w:name="_Toc14893"/>
      <w:bookmarkStart w:id="253" w:name="_Toc9490"/>
      <w:bookmarkStart w:id="254" w:name="_Toc9733"/>
      <w:bookmarkStart w:id="255" w:name="_Toc3086"/>
      <w:r>
        <w:rPr>
          <w:rFonts w:ascii="黑体" w:eastAsia="黑体" w:hAnsi="黑体" w:cs="黑体" w:hint="eastAsia"/>
          <w:sz w:val="32"/>
          <w:szCs w:val="32"/>
        </w:rPr>
        <w:t>二、“十四五”总体要求</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256" w:name="_Toc23957"/>
      <w:bookmarkStart w:id="257" w:name="_Toc20421"/>
      <w:bookmarkStart w:id="258" w:name="_Toc728"/>
      <w:bookmarkStart w:id="259" w:name="_Toc27121"/>
      <w:bookmarkStart w:id="260" w:name="_Toc29878"/>
      <w:bookmarkStart w:id="261" w:name="_Toc4010"/>
      <w:bookmarkStart w:id="262" w:name="_Toc31147"/>
      <w:bookmarkStart w:id="263" w:name="_Toc8261"/>
      <w:bookmarkStart w:id="264" w:name="_Toc5757"/>
      <w:bookmarkStart w:id="265" w:name="_Toc19741"/>
      <w:bookmarkStart w:id="266" w:name="_Toc29078"/>
      <w:bookmarkStart w:id="267" w:name="_Toc18972"/>
      <w:bookmarkStart w:id="268" w:name="_Toc18036"/>
      <w:bookmarkStart w:id="269" w:name="_Toc27980"/>
      <w:bookmarkStart w:id="270" w:name="_Toc31323"/>
      <w:bookmarkStart w:id="271" w:name="_Toc10716"/>
      <w:bookmarkStart w:id="272" w:name="_Toc29999"/>
      <w:bookmarkStart w:id="273" w:name="_Toc17044"/>
      <w:bookmarkStart w:id="274" w:name="_Toc17691"/>
      <w:bookmarkStart w:id="275" w:name="_Toc1102"/>
      <w:bookmarkStart w:id="276" w:name="_Toc16185"/>
      <w:bookmarkStart w:id="277" w:name="_Toc30364"/>
      <w:bookmarkStart w:id="278" w:name="_Toc3000"/>
      <w:bookmarkStart w:id="279" w:name="_Toc25770"/>
      <w:bookmarkStart w:id="280" w:name="_Toc4502"/>
      <w:bookmarkStart w:id="281" w:name="_Toc4157"/>
      <w:bookmarkStart w:id="282" w:name="_Toc29858"/>
      <w:bookmarkStart w:id="283" w:name="_Toc26237"/>
      <w:bookmarkStart w:id="284" w:name="_Toc31385"/>
      <w:bookmarkStart w:id="285" w:name="_Toc25315"/>
      <w:bookmarkStart w:id="286" w:name="_Toc20215"/>
      <w:bookmarkStart w:id="287" w:name="_Toc11654"/>
      <w:bookmarkStart w:id="288" w:name="_Toc30519"/>
      <w:bookmarkStart w:id="289" w:name="_Toc5001"/>
      <w:bookmarkStart w:id="290" w:name="_Toc9469"/>
      <w:bookmarkStart w:id="291" w:name="_Toc32547"/>
      <w:bookmarkStart w:id="292" w:name="_Toc378"/>
      <w:bookmarkStart w:id="293" w:name="_Toc12161"/>
      <w:bookmarkStart w:id="294" w:name="_Toc17166"/>
      <w:bookmarkStart w:id="295" w:name="_Toc632"/>
      <w:bookmarkStart w:id="296" w:name="_Toc24427"/>
      <w:bookmarkStart w:id="297" w:name="_Toc31293"/>
      <w:bookmarkStart w:id="298" w:name="_Toc274"/>
      <w:bookmarkStart w:id="299" w:name="_Toc22675"/>
      <w:bookmarkStart w:id="300" w:name="_Toc13922"/>
      <w:bookmarkStart w:id="301" w:name="_Toc29167"/>
      <w:bookmarkStart w:id="302" w:name="_Toc25077"/>
      <w:bookmarkStart w:id="303" w:name="_Toc5868"/>
      <w:bookmarkStart w:id="304" w:name="_Toc17402"/>
      <w:bookmarkStart w:id="305" w:name="_Toc9887"/>
      <w:bookmarkStart w:id="306" w:name="_Toc9598"/>
      <w:bookmarkStart w:id="307" w:name="_Toc3267"/>
      <w:bookmarkStart w:id="308" w:name="_Toc1209"/>
      <w:bookmarkStart w:id="309" w:name="_Toc16527"/>
      <w:bookmarkStart w:id="310" w:name="_Toc13110"/>
      <w:bookmarkStart w:id="311" w:name="_Toc2857"/>
      <w:bookmarkStart w:id="312" w:name="_Toc11825"/>
      <w:bookmarkStart w:id="313" w:name="_Toc21741"/>
      <w:bookmarkStart w:id="314" w:name="_Toc22672"/>
      <w:bookmarkStart w:id="315" w:name="_Toc19466"/>
      <w:bookmarkStart w:id="316" w:name="_Toc10196"/>
      <w:bookmarkStart w:id="317" w:name="_Toc19118"/>
      <w:bookmarkStart w:id="318" w:name="_Toc20181"/>
      <w:bookmarkStart w:id="319" w:name="_Toc26109"/>
      <w:r>
        <w:rPr>
          <w:rFonts w:ascii="楷体_GB2312" w:eastAsia="楷体_GB2312" w:hAnsi="楷体_GB2312" w:cs="楷体_GB2312" w:hint="eastAsia"/>
          <w:sz w:val="32"/>
          <w:szCs w:val="32"/>
        </w:rPr>
        <w:t>（一）指导思想</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全面贯彻党的十九大和十九届二中、三中、四中、五中全会精神，深入学习贯彻习近平总书记重要讲话和指示批示精神，坚定不移贯彻新发展理念，坚持稳中求进工作总基调，以推动高质量发展为主题，以深化供给侧结构性改革为主线，以改革创新为根本动力，以满足人民日益增长的美好生活需要为根本目的，紧紧围绕建设“湾区都市、品质东莞”的战略部署，提升东莞市建筑低碳绿色水平，促进东莞市建筑高质量发展。</w:t>
      </w:r>
    </w:p>
    <w:p w:rsidR="00043727" w:rsidRDefault="00043727">
      <w:pPr>
        <w:pStyle w:val="a0"/>
        <w:rPr>
          <w:rFonts w:ascii="仿宋_GB2312" w:eastAsia="仿宋_GB2312" w:hAnsi="仿宋_GB2312" w:cs="仿宋_GB2312"/>
          <w:sz w:val="32"/>
          <w:szCs w:val="32"/>
        </w:rPr>
      </w:pPr>
    </w:p>
    <w:p w:rsidR="00043727" w:rsidRDefault="00043727">
      <w:pPr>
        <w:pStyle w:val="5"/>
        <w:rPr>
          <w:rFonts w:hint="default"/>
        </w:rPr>
      </w:pP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320" w:name="_Toc4720"/>
      <w:bookmarkStart w:id="321" w:name="_Toc20447"/>
      <w:bookmarkStart w:id="322" w:name="_Toc1928"/>
      <w:bookmarkStart w:id="323" w:name="_Toc23992"/>
      <w:bookmarkStart w:id="324" w:name="_Toc22405"/>
      <w:bookmarkStart w:id="325" w:name="_Toc22964"/>
      <w:bookmarkStart w:id="326" w:name="_Toc13278"/>
      <w:bookmarkStart w:id="327" w:name="_Toc17466"/>
      <w:bookmarkStart w:id="328" w:name="_Toc13798"/>
      <w:bookmarkStart w:id="329" w:name="_Toc30295"/>
      <w:bookmarkStart w:id="330" w:name="_Toc30644"/>
      <w:bookmarkStart w:id="331" w:name="_Toc23600"/>
      <w:bookmarkStart w:id="332" w:name="_Toc25852"/>
      <w:bookmarkStart w:id="333" w:name="_Toc12438"/>
      <w:bookmarkStart w:id="334" w:name="_Toc32223"/>
      <w:bookmarkStart w:id="335" w:name="_Toc18103"/>
      <w:bookmarkStart w:id="336" w:name="_Toc13457"/>
      <w:bookmarkStart w:id="337" w:name="_Toc32643"/>
      <w:bookmarkStart w:id="338" w:name="_Toc8636"/>
      <w:bookmarkStart w:id="339" w:name="_Toc18386"/>
      <w:bookmarkStart w:id="340" w:name="_Toc22152"/>
      <w:bookmarkStart w:id="341" w:name="_Toc28833"/>
      <w:bookmarkStart w:id="342" w:name="_Toc19764"/>
      <w:bookmarkStart w:id="343" w:name="_Toc14214"/>
      <w:bookmarkStart w:id="344" w:name="_Toc26467"/>
      <w:bookmarkStart w:id="345" w:name="_Toc11413"/>
      <w:bookmarkStart w:id="346" w:name="_Toc29122"/>
      <w:bookmarkStart w:id="347" w:name="_Toc23820"/>
      <w:bookmarkStart w:id="348" w:name="_Toc12722"/>
      <w:bookmarkStart w:id="349" w:name="_Toc15070"/>
      <w:bookmarkStart w:id="350" w:name="_Toc14933"/>
      <w:bookmarkStart w:id="351" w:name="_Toc32722"/>
      <w:bookmarkStart w:id="352" w:name="_Toc4534"/>
      <w:bookmarkStart w:id="353" w:name="_Toc8633"/>
      <w:bookmarkStart w:id="354" w:name="_Toc8207"/>
      <w:bookmarkStart w:id="355" w:name="_Toc9811"/>
      <w:bookmarkStart w:id="356" w:name="_Toc26164"/>
      <w:bookmarkStart w:id="357" w:name="_Toc8637"/>
      <w:bookmarkStart w:id="358" w:name="_Toc12459"/>
      <w:bookmarkStart w:id="359" w:name="_Toc2505"/>
      <w:bookmarkStart w:id="360" w:name="_Toc15836"/>
      <w:bookmarkStart w:id="361" w:name="_Toc6816"/>
      <w:bookmarkStart w:id="362" w:name="_Toc16881"/>
      <w:bookmarkStart w:id="363" w:name="_Toc11348"/>
      <w:bookmarkStart w:id="364" w:name="_Toc8353"/>
      <w:bookmarkStart w:id="365" w:name="_Toc5899"/>
      <w:bookmarkStart w:id="366" w:name="_Toc10541"/>
      <w:bookmarkStart w:id="367" w:name="_Toc2651"/>
      <w:bookmarkStart w:id="368" w:name="_Toc30001"/>
      <w:bookmarkStart w:id="369" w:name="_Toc17859"/>
      <w:bookmarkStart w:id="370" w:name="_Toc23292"/>
      <w:bookmarkStart w:id="371" w:name="_Toc16355"/>
      <w:bookmarkStart w:id="372" w:name="_Toc24318"/>
      <w:bookmarkStart w:id="373" w:name="_Toc22885"/>
      <w:bookmarkStart w:id="374" w:name="_Toc16028"/>
      <w:bookmarkStart w:id="375" w:name="_Toc31124"/>
      <w:bookmarkStart w:id="376" w:name="_Toc15352"/>
      <w:bookmarkStart w:id="377" w:name="_Toc10228"/>
      <w:bookmarkStart w:id="378" w:name="_Toc6449"/>
      <w:bookmarkStart w:id="379" w:name="_Toc7835"/>
      <w:bookmarkStart w:id="380" w:name="_Toc20470"/>
      <w:bookmarkStart w:id="381" w:name="_Toc29115"/>
      <w:bookmarkStart w:id="382" w:name="_Toc16593"/>
      <w:bookmarkStart w:id="383" w:name="_Toc16638"/>
      <w:r>
        <w:rPr>
          <w:rFonts w:ascii="楷体_GB2312" w:eastAsia="楷体_GB2312" w:hAnsi="楷体_GB2312" w:cs="楷体_GB2312" w:hint="eastAsia"/>
          <w:sz w:val="32"/>
          <w:szCs w:val="32"/>
        </w:rPr>
        <w:lastRenderedPageBreak/>
        <w:t>（二）基本原则</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p>
    <w:p w:rsidR="00043727" w:rsidRDefault="00EF3381">
      <w:pPr>
        <w:adjustRightInd w:val="0"/>
        <w:snapToGrid w:val="0"/>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全面推进，突出重点。</w:t>
      </w:r>
      <w:r>
        <w:rPr>
          <w:rFonts w:ascii="仿宋_GB2312" w:eastAsia="仿宋_GB2312" w:hAnsi="仿宋_GB2312" w:cs="仿宋_GB2312" w:hint="eastAsia"/>
          <w:sz w:val="32"/>
          <w:szCs w:val="32"/>
        </w:rPr>
        <w:t>在新建民用建筑全面实施绿色建筑的基础上，提高重点建筑类型和重点区域的绿色建设要求。建筑节能与绿色建筑发展各环节、各领域工作统筹协调推进，对薄弱环节和滞后领域重点突破。既有建筑节能改造、可再生能源建筑应用等难点工作采取有效措施持续推进，力求创建超低能耗建筑、健康住宅、装配式建筑示范项目等亮点工作取得突破。</w:t>
      </w:r>
    </w:p>
    <w:p w:rsidR="00043727" w:rsidRDefault="00EF3381">
      <w:pPr>
        <w:adjustRightInd w:val="0"/>
        <w:snapToGrid w:val="0"/>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因地制宜，经济适用。</w:t>
      </w:r>
      <w:r>
        <w:rPr>
          <w:rFonts w:ascii="仿宋_GB2312" w:eastAsia="仿宋_GB2312" w:hAnsi="仿宋_GB2312" w:cs="仿宋_GB2312" w:hint="eastAsia"/>
          <w:sz w:val="32"/>
          <w:szCs w:val="32"/>
        </w:rPr>
        <w:t>加强顶层设计，统筹推进中心城区绿色建筑品质提升，实现各镇协调发展。充分考虑地理气候条件特点及经济社会发展水平差异，合理制定技术路线，采用适合的技术和产品，避免盲目高投入和资源消耗，科学实施绿色建筑发展。</w:t>
      </w:r>
    </w:p>
    <w:p w:rsidR="00043727" w:rsidRDefault="00EF3381">
      <w:pPr>
        <w:adjustRightInd w:val="0"/>
        <w:snapToGrid w:val="0"/>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科技先行，创新驱动。</w:t>
      </w:r>
      <w:r>
        <w:rPr>
          <w:rFonts w:ascii="仿宋_GB2312" w:eastAsia="仿宋_GB2312" w:hAnsi="仿宋_GB2312" w:cs="仿宋_GB2312" w:hint="eastAsia"/>
          <w:sz w:val="32"/>
          <w:szCs w:val="32"/>
        </w:rPr>
        <w:t>提高科技创新能力，突破制约建筑工程绿色化发展的关键技术，形成创新驱动的技术和标准体系。推动创新成果工程化应用，引导建筑节能与绿色建筑新技术、新工艺、新材料和新设备发展，加快淘汰高能耗、高污染的落后技术和产品。</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384" w:name="_Toc915"/>
      <w:bookmarkStart w:id="385" w:name="_Toc3807"/>
      <w:bookmarkStart w:id="386" w:name="_Toc7084"/>
      <w:bookmarkStart w:id="387" w:name="_Toc4266"/>
      <w:bookmarkStart w:id="388" w:name="_Toc27107"/>
      <w:bookmarkStart w:id="389" w:name="_Toc12017"/>
      <w:bookmarkStart w:id="390" w:name="_Toc18862"/>
      <w:bookmarkStart w:id="391" w:name="_Toc22939"/>
      <w:bookmarkStart w:id="392" w:name="_Toc9031"/>
      <w:bookmarkStart w:id="393" w:name="_Toc1799"/>
      <w:bookmarkStart w:id="394" w:name="_Toc3673"/>
      <w:bookmarkStart w:id="395" w:name="_Toc7074"/>
      <w:bookmarkStart w:id="396" w:name="_Toc15907"/>
      <w:bookmarkStart w:id="397" w:name="_Toc30366"/>
      <w:bookmarkStart w:id="398" w:name="_Toc29677"/>
      <w:bookmarkStart w:id="399" w:name="_Toc26934"/>
      <w:bookmarkStart w:id="400" w:name="_Toc8458"/>
      <w:bookmarkStart w:id="401" w:name="_Toc9073"/>
      <w:bookmarkStart w:id="402" w:name="_Toc11965"/>
      <w:bookmarkStart w:id="403" w:name="_Toc31712"/>
      <w:bookmarkStart w:id="404" w:name="_Toc85"/>
      <w:bookmarkStart w:id="405" w:name="_Toc28571"/>
      <w:bookmarkStart w:id="406" w:name="_Toc24237"/>
      <w:bookmarkStart w:id="407" w:name="_Toc4065"/>
      <w:bookmarkStart w:id="408" w:name="_Toc3643"/>
      <w:bookmarkStart w:id="409" w:name="_Toc31081"/>
      <w:bookmarkStart w:id="410" w:name="_Toc3863"/>
      <w:bookmarkStart w:id="411" w:name="_Toc8815"/>
      <w:bookmarkStart w:id="412" w:name="_Toc15530"/>
      <w:bookmarkStart w:id="413" w:name="_Toc23671"/>
      <w:bookmarkStart w:id="414" w:name="_Toc7850"/>
      <w:bookmarkStart w:id="415" w:name="_Toc12054"/>
      <w:bookmarkStart w:id="416" w:name="_Toc29250"/>
      <w:bookmarkStart w:id="417" w:name="_Toc9817"/>
      <w:bookmarkStart w:id="418" w:name="_Toc21898"/>
      <w:bookmarkStart w:id="419" w:name="_Toc2685"/>
      <w:bookmarkStart w:id="420" w:name="_Toc3731"/>
      <w:bookmarkStart w:id="421" w:name="_Toc18392"/>
      <w:bookmarkStart w:id="422" w:name="_Toc29524"/>
      <w:bookmarkStart w:id="423" w:name="_Toc24847"/>
      <w:bookmarkStart w:id="424" w:name="_Toc24553"/>
      <w:bookmarkStart w:id="425" w:name="_Toc12785"/>
      <w:bookmarkStart w:id="426" w:name="_Toc21479"/>
      <w:bookmarkStart w:id="427" w:name="_Toc24889"/>
      <w:bookmarkStart w:id="428" w:name="_Toc7694"/>
      <w:bookmarkStart w:id="429" w:name="_Toc25542"/>
      <w:bookmarkStart w:id="430" w:name="_Toc15801"/>
      <w:bookmarkStart w:id="431" w:name="_Toc8908"/>
      <w:bookmarkStart w:id="432" w:name="_Toc474"/>
      <w:bookmarkStart w:id="433" w:name="_Toc20087"/>
      <w:bookmarkStart w:id="434" w:name="_Toc26335"/>
      <w:bookmarkStart w:id="435" w:name="_Toc9969"/>
      <w:bookmarkStart w:id="436" w:name="_Toc25460"/>
      <w:bookmarkStart w:id="437" w:name="_Toc12646"/>
      <w:bookmarkStart w:id="438" w:name="_Toc11811"/>
      <w:bookmarkStart w:id="439" w:name="_Toc11445"/>
      <w:bookmarkStart w:id="440" w:name="_Toc21958"/>
      <w:bookmarkStart w:id="441" w:name="_Toc6667"/>
      <w:bookmarkStart w:id="442" w:name="_Toc2538"/>
      <w:bookmarkStart w:id="443" w:name="_Toc11014"/>
      <w:bookmarkStart w:id="444" w:name="_Toc21371"/>
      <w:bookmarkStart w:id="445" w:name="_Toc13706"/>
      <w:bookmarkStart w:id="446" w:name="_Toc29015"/>
      <w:bookmarkStart w:id="447" w:name="_Toc26836"/>
      <w:r>
        <w:rPr>
          <w:rFonts w:ascii="楷体_GB2312" w:eastAsia="楷体_GB2312" w:hAnsi="楷体_GB2312" w:cs="楷体_GB2312" w:hint="eastAsia"/>
          <w:sz w:val="32"/>
          <w:szCs w:val="32"/>
        </w:rPr>
        <w:t>（三）发展目标</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全面推进绿色建筑高质量发展，新建民用建筑全面推行绿色建筑，人民群众对绿色建筑的获得感切实加强；全市建筑能耗总量和强度增长趋势得到有效控制，稳步提升建筑能效水平，既有建筑节能及绿色化改造有序推动，可再生能源</w:t>
      </w:r>
      <w:r>
        <w:rPr>
          <w:rFonts w:ascii="仿宋_GB2312" w:eastAsia="仿宋_GB2312" w:hAnsi="仿宋_GB2312" w:cs="仿宋_GB2312" w:hint="eastAsia"/>
          <w:sz w:val="32"/>
          <w:szCs w:val="32"/>
        </w:rPr>
        <w:lastRenderedPageBreak/>
        <w:t>建筑应用规模进一步扩大；散装水泥和新型墙体材料发展应用成果更加巩固，绿色建材应用比例显著提升。装配式建筑继续推进，打造绿色建筑、装配式建筑发展标杆。</w:t>
      </w:r>
    </w:p>
    <w:p w:rsidR="00043727" w:rsidRDefault="00EF3381">
      <w:pPr>
        <w:pStyle w:val="BodyTextIndent2"/>
        <w:adjustRightInd w:val="0"/>
        <w:snapToGrid w:val="0"/>
        <w:spacing w:after="0" w:line="600" w:lineRule="exact"/>
        <w:ind w:leftChars="0" w:left="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表1 “十四五”时期东莞市建筑节能与绿色建筑发展目标</w:t>
      </w:r>
    </w:p>
    <w:tbl>
      <w:tblPr>
        <w:tblStyle w:val="ac"/>
        <w:tblW w:w="8522" w:type="dxa"/>
        <w:jc w:val="center"/>
        <w:tblLayout w:type="fixed"/>
        <w:tblLook w:val="04A0"/>
      </w:tblPr>
      <w:tblGrid>
        <w:gridCol w:w="1206"/>
        <w:gridCol w:w="4950"/>
        <w:gridCol w:w="2366"/>
      </w:tblGrid>
      <w:tr w:rsidR="00043727">
        <w:trPr>
          <w:jc w:val="center"/>
        </w:trPr>
        <w:tc>
          <w:tcPr>
            <w:tcW w:w="1206" w:type="dxa"/>
            <w:vAlign w:val="center"/>
          </w:tcPr>
          <w:p w:rsidR="00043727" w:rsidRDefault="00EF3381">
            <w:pPr>
              <w:pStyle w:val="BodyTextIndent2"/>
              <w:adjustRightInd w:val="0"/>
              <w:snapToGrid w:val="0"/>
              <w:spacing w:after="0" w:line="560" w:lineRule="exact"/>
              <w:ind w:leftChars="0" w:left="0"/>
              <w:jc w:val="center"/>
              <w:rPr>
                <w:rFonts w:ascii="仿宋" w:eastAsia="仿宋" w:hAnsi="仿宋" w:cs="仿宋"/>
                <w:sz w:val="28"/>
                <w:szCs w:val="28"/>
              </w:rPr>
            </w:pPr>
            <w:r>
              <w:rPr>
                <w:rFonts w:ascii="仿宋" w:eastAsia="仿宋" w:hAnsi="仿宋" w:cs="仿宋" w:hint="eastAsia"/>
                <w:sz w:val="28"/>
                <w:szCs w:val="28"/>
              </w:rPr>
              <w:t>内容</w:t>
            </w:r>
          </w:p>
        </w:tc>
        <w:tc>
          <w:tcPr>
            <w:tcW w:w="4950" w:type="dxa"/>
            <w:vAlign w:val="center"/>
          </w:tcPr>
          <w:p w:rsidR="00043727" w:rsidRDefault="00EF3381">
            <w:pPr>
              <w:pStyle w:val="BodyTextIndent2"/>
              <w:adjustRightInd w:val="0"/>
              <w:snapToGrid w:val="0"/>
              <w:spacing w:after="0" w:line="560" w:lineRule="exact"/>
              <w:ind w:leftChars="0" w:left="0"/>
              <w:jc w:val="center"/>
              <w:rPr>
                <w:rFonts w:ascii="仿宋" w:eastAsia="仿宋" w:hAnsi="仿宋" w:cs="仿宋"/>
                <w:sz w:val="28"/>
                <w:szCs w:val="28"/>
              </w:rPr>
            </w:pPr>
            <w:r>
              <w:rPr>
                <w:rFonts w:ascii="仿宋" w:eastAsia="仿宋" w:hAnsi="仿宋" w:cs="仿宋" w:hint="eastAsia"/>
                <w:sz w:val="28"/>
                <w:szCs w:val="28"/>
              </w:rPr>
              <w:t>目标</w:t>
            </w:r>
          </w:p>
        </w:tc>
        <w:tc>
          <w:tcPr>
            <w:tcW w:w="2366" w:type="dxa"/>
            <w:vAlign w:val="center"/>
          </w:tcPr>
          <w:p w:rsidR="00043727" w:rsidRDefault="00EF3381">
            <w:pPr>
              <w:pStyle w:val="BodyTextIndent2"/>
              <w:adjustRightInd w:val="0"/>
              <w:snapToGrid w:val="0"/>
              <w:spacing w:after="0" w:line="560" w:lineRule="exact"/>
              <w:ind w:leftChars="0" w:left="0"/>
              <w:jc w:val="center"/>
              <w:rPr>
                <w:rFonts w:ascii="仿宋" w:eastAsia="仿宋" w:hAnsi="仿宋" w:cs="仿宋"/>
                <w:sz w:val="28"/>
                <w:szCs w:val="28"/>
              </w:rPr>
            </w:pPr>
            <w:r>
              <w:rPr>
                <w:rFonts w:ascii="仿宋" w:eastAsia="仿宋" w:hAnsi="仿宋" w:cs="仿宋" w:hint="eastAsia"/>
                <w:sz w:val="28"/>
                <w:szCs w:val="28"/>
              </w:rPr>
              <w:t>目标值</w:t>
            </w:r>
          </w:p>
        </w:tc>
      </w:tr>
      <w:tr w:rsidR="00043727">
        <w:trPr>
          <w:trHeight w:val="298"/>
          <w:jc w:val="center"/>
        </w:trPr>
        <w:tc>
          <w:tcPr>
            <w:tcW w:w="1206" w:type="dxa"/>
            <w:vMerge w:val="restart"/>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建筑</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节能</w:t>
            </w: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超低能耗、近零能耗建筑</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2项</w:t>
            </w:r>
          </w:p>
        </w:tc>
      </w:tr>
      <w:tr w:rsidR="00043727">
        <w:trPr>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城镇新建居住建筑能效水平提升</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30%</w:t>
            </w:r>
          </w:p>
        </w:tc>
      </w:tr>
      <w:tr w:rsidR="00043727">
        <w:trPr>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城镇新建公共建筑能效水平提升</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20%</w:t>
            </w:r>
          </w:p>
        </w:tc>
      </w:tr>
      <w:tr w:rsidR="00043727">
        <w:trPr>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既有建筑节能和绿色化改造面积</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（万平方米）</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200</w:t>
            </w:r>
          </w:p>
        </w:tc>
      </w:tr>
      <w:tr w:rsidR="00043727">
        <w:trPr>
          <w:trHeight w:val="1146"/>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新增太阳能光热集热面积</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（万平方米）</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20</w:t>
            </w:r>
          </w:p>
        </w:tc>
      </w:tr>
      <w:tr w:rsidR="00043727">
        <w:trPr>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太阳能光电建筑应用装机容量</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（兆瓦）</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100</w:t>
            </w:r>
          </w:p>
        </w:tc>
      </w:tr>
      <w:tr w:rsidR="00043727">
        <w:trPr>
          <w:jc w:val="center"/>
        </w:trPr>
        <w:tc>
          <w:tcPr>
            <w:tcW w:w="1206" w:type="dxa"/>
            <w:vMerge w:val="restart"/>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绿色</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建筑</w:t>
            </w: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城镇新建民用建筑中绿色建筑面积占比</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80%（2022）</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90%（2023）</w:t>
            </w:r>
          </w:p>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100%（2025）</w:t>
            </w:r>
          </w:p>
        </w:tc>
      </w:tr>
      <w:tr w:rsidR="00043727">
        <w:trPr>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一星级及以上绿色建筑面积占当年新增绿色建筑面积的比例</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45%（2025）</w:t>
            </w:r>
          </w:p>
        </w:tc>
      </w:tr>
      <w:tr w:rsidR="00043727">
        <w:trPr>
          <w:jc w:val="center"/>
        </w:trPr>
        <w:tc>
          <w:tcPr>
            <w:tcW w:w="1206" w:type="dxa"/>
            <w:vMerge w:val="restart"/>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散装水泥与绿色建材</w:t>
            </w: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散装水泥使用率</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80%</w:t>
            </w:r>
          </w:p>
        </w:tc>
      </w:tr>
      <w:tr w:rsidR="00043727">
        <w:trPr>
          <w:jc w:val="center"/>
        </w:trPr>
        <w:tc>
          <w:tcPr>
            <w:tcW w:w="1206" w:type="dxa"/>
            <w:vMerge/>
            <w:vAlign w:val="center"/>
          </w:tcPr>
          <w:p w:rsidR="00043727" w:rsidRDefault="00043727">
            <w:pPr>
              <w:pStyle w:val="BodyTextIndent2"/>
              <w:adjustRightInd w:val="0"/>
              <w:snapToGrid w:val="0"/>
              <w:spacing w:after="0" w:line="400" w:lineRule="exact"/>
              <w:ind w:leftChars="0" w:left="0"/>
              <w:jc w:val="center"/>
              <w:rPr>
                <w:rFonts w:ascii="仿宋" w:eastAsia="仿宋" w:hAnsi="仿宋" w:cs="仿宋"/>
                <w:sz w:val="28"/>
                <w:szCs w:val="28"/>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预拌混凝土企业绿色生产达标率</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100%</w:t>
            </w:r>
          </w:p>
        </w:tc>
      </w:tr>
      <w:tr w:rsidR="00043727">
        <w:trPr>
          <w:jc w:val="center"/>
        </w:trPr>
        <w:tc>
          <w:tcPr>
            <w:tcW w:w="1206" w:type="dxa"/>
            <w:vMerge w:val="restart"/>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新型建筑工业化</w:t>
            </w: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全市装配式建筑面积占新建建筑面积比例</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35%</w:t>
            </w:r>
          </w:p>
        </w:tc>
      </w:tr>
      <w:tr w:rsidR="00043727">
        <w:trPr>
          <w:jc w:val="center"/>
        </w:trPr>
        <w:tc>
          <w:tcPr>
            <w:tcW w:w="1206" w:type="dxa"/>
            <w:vMerge/>
            <w:vAlign w:val="center"/>
          </w:tcPr>
          <w:p w:rsidR="00043727" w:rsidRDefault="00043727" w:rsidP="005B791B">
            <w:pPr>
              <w:pStyle w:val="BodyTextIndent2"/>
              <w:adjustRightInd w:val="0"/>
              <w:snapToGrid w:val="0"/>
              <w:spacing w:beforeLines="50" w:afterLines="50" w:line="240" w:lineRule="auto"/>
              <w:ind w:leftChars="0" w:left="0"/>
              <w:rPr>
                <w:rFonts w:ascii="仿宋" w:eastAsia="仿宋" w:hAnsi="仿宋" w:cs="仿宋"/>
                <w:bCs/>
                <w:kern w:val="0"/>
                <w:sz w:val="30"/>
                <w:szCs w:val="30"/>
              </w:rPr>
            </w:pPr>
          </w:p>
        </w:tc>
        <w:tc>
          <w:tcPr>
            <w:tcW w:w="4950"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政府投资工程建筑项目（含PPP项目）装配式建筑面积占新建建筑面积比例</w:t>
            </w:r>
          </w:p>
        </w:tc>
        <w:tc>
          <w:tcPr>
            <w:tcW w:w="2366" w:type="dxa"/>
            <w:vAlign w:val="center"/>
          </w:tcPr>
          <w:p w:rsidR="00043727" w:rsidRDefault="00EF3381">
            <w:pPr>
              <w:pStyle w:val="BodyTextIndent2"/>
              <w:adjustRightInd w:val="0"/>
              <w:snapToGrid w:val="0"/>
              <w:spacing w:after="0" w:line="400" w:lineRule="exact"/>
              <w:ind w:leftChars="0" w:left="0"/>
              <w:jc w:val="center"/>
              <w:rPr>
                <w:rFonts w:ascii="仿宋" w:eastAsia="仿宋" w:hAnsi="仿宋" w:cs="仿宋"/>
                <w:sz w:val="28"/>
                <w:szCs w:val="28"/>
              </w:rPr>
            </w:pPr>
            <w:r>
              <w:rPr>
                <w:rFonts w:ascii="仿宋" w:eastAsia="仿宋" w:hAnsi="仿宋" w:cs="仿宋" w:hint="eastAsia"/>
                <w:sz w:val="28"/>
                <w:szCs w:val="28"/>
              </w:rPr>
              <w:t>70%</w:t>
            </w:r>
          </w:p>
        </w:tc>
      </w:tr>
    </w:tbl>
    <w:p w:rsidR="00043727" w:rsidRDefault="00EF3381">
      <w:pPr>
        <w:adjustRightInd w:val="0"/>
        <w:snapToGrid w:val="0"/>
        <w:spacing w:line="600" w:lineRule="exact"/>
        <w:rPr>
          <w:rFonts w:ascii="仿宋" w:eastAsia="仿宋" w:hAnsi="仿宋" w:cs="仿宋"/>
          <w:sz w:val="28"/>
          <w:szCs w:val="28"/>
        </w:rPr>
      </w:pPr>
      <w:r>
        <w:rPr>
          <w:rFonts w:ascii="仿宋" w:eastAsia="仿宋" w:hAnsi="仿宋" w:cs="仿宋" w:hint="eastAsia"/>
          <w:sz w:val="28"/>
          <w:szCs w:val="28"/>
        </w:rPr>
        <w:t>（注：表中指标均为预期性指标）</w:t>
      </w:r>
    </w:p>
    <w:p w:rsidR="00043727" w:rsidRDefault="00043727">
      <w:pPr>
        <w:pStyle w:val="a0"/>
        <w:rPr>
          <w:rFonts w:ascii="仿宋" w:eastAsia="仿宋" w:hAnsi="仿宋" w:cs="仿宋"/>
          <w:sz w:val="28"/>
          <w:szCs w:val="28"/>
        </w:rPr>
      </w:pPr>
    </w:p>
    <w:p w:rsidR="00043727" w:rsidRDefault="00043727">
      <w:pPr>
        <w:pStyle w:val="5"/>
        <w:rPr>
          <w:rFonts w:hint="default"/>
        </w:rPr>
      </w:pPr>
    </w:p>
    <w:p w:rsidR="00043727" w:rsidRDefault="00EF3381">
      <w:pPr>
        <w:adjustRightInd w:val="0"/>
        <w:snapToGrid w:val="0"/>
        <w:spacing w:line="600" w:lineRule="exact"/>
        <w:ind w:firstLineChars="200" w:firstLine="640"/>
        <w:outlineLvl w:val="0"/>
        <w:rPr>
          <w:rFonts w:ascii="黑体" w:eastAsia="黑体" w:hAnsi="黑体" w:cs="黑体"/>
          <w:sz w:val="32"/>
          <w:szCs w:val="32"/>
        </w:rPr>
      </w:pPr>
      <w:bookmarkStart w:id="448" w:name="_Toc28942"/>
      <w:bookmarkStart w:id="449" w:name="_Toc23488"/>
      <w:bookmarkStart w:id="450" w:name="_Toc19282"/>
      <w:bookmarkStart w:id="451" w:name="_Toc14617"/>
      <w:bookmarkStart w:id="452" w:name="_Toc14964"/>
      <w:bookmarkStart w:id="453" w:name="_Toc873"/>
      <w:bookmarkStart w:id="454" w:name="_Toc25105"/>
      <w:bookmarkStart w:id="455" w:name="_Toc31541"/>
      <w:bookmarkStart w:id="456" w:name="_Toc7641"/>
      <w:bookmarkStart w:id="457" w:name="_Toc24587"/>
      <w:bookmarkStart w:id="458" w:name="_Toc29067"/>
      <w:bookmarkStart w:id="459" w:name="_Toc30342"/>
      <w:bookmarkStart w:id="460" w:name="_Toc9621"/>
      <w:bookmarkStart w:id="461" w:name="_Toc27543"/>
      <w:bookmarkStart w:id="462" w:name="_Toc22669"/>
      <w:bookmarkStart w:id="463" w:name="_Toc22171"/>
      <w:bookmarkStart w:id="464" w:name="_Toc4522"/>
      <w:bookmarkStart w:id="465" w:name="_Toc6090"/>
      <w:bookmarkStart w:id="466" w:name="_Toc10268"/>
      <w:bookmarkStart w:id="467" w:name="_Toc2425"/>
      <w:bookmarkStart w:id="468" w:name="_Toc17606"/>
      <w:bookmarkStart w:id="469" w:name="_Toc9223"/>
      <w:bookmarkStart w:id="470" w:name="_Toc27517"/>
      <w:bookmarkStart w:id="471" w:name="_Toc16962"/>
      <w:bookmarkStart w:id="472" w:name="_Toc21421"/>
      <w:bookmarkStart w:id="473" w:name="_Toc4487"/>
      <w:bookmarkStart w:id="474" w:name="_Toc19288"/>
      <w:bookmarkStart w:id="475" w:name="_Toc2164"/>
      <w:bookmarkStart w:id="476" w:name="_Toc26761"/>
      <w:bookmarkStart w:id="477" w:name="_Toc31531"/>
      <w:bookmarkStart w:id="478" w:name="_Toc24981"/>
      <w:bookmarkStart w:id="479" w:name="_Toc25082"/>
      <w:bookmarkStart w:id="480" w:name="_Toc4916"/>
      <w:bookmarkStart w:id="481" w:name="_Toc27698"/>
      <w:bookmarkStart w:id="482" w:name="_Toc16567"/>
      <w:bookmarkStart w:id="483" w:name="_Toc413"/>
      <w:bookmarkStart w:id="484" w:name="_Toc9124"/>
      <w:bookmarkStart w:id="485" w:name="_Toc11035"/>
      <w:bookmarkStart w:id="486" w:name="_Toc19399"/>
      <w:bookmarkStart w:id="487" w:name="_Toc25743"/>
      <w:bookmarkStart w:id="488" w:name="_Toc24901"/>
      <w:bookmarkStart w:id="489" w:name="_Toc17689"/>
      <w:bookmarkStart w:id="490" w:name="_Toc21162"/>
      <w:bookmarkStart w:id="491" w:name="_Toc32390"/>
      <w:bookmarkStart w:id="492" w:name="_Toc22106"/>
      <w:bookmarkStart w:id="493" w:name="_Toc5273"/>
      <w:bookmarkStart w:id="494" w:name="_Toc17851"/>
      <w:bookmarkStart w:id="495" w:name="_Toc13362"/>
      <w:bookmarkStart w:id="496" w:name="_Toc28069"/>
      <w:bookmarkStart w:id="497" w:name="_Toc24683"/>
      <w:bookmarkStart w:id="498" w:name="_Toc1430"/>
      <w:bookmarkStart w:id="499" w:name="_Toc16237"/>
      <w:bookmarkStart w:id="500" w:name="_Toc12553"/>
      <w:bookmarkStart w:id="501" w:name="_Toc28716"/>
      <w:bookmarkStart w:id="502" w:name="_Toc20664"/>
      <w:bookmarkStart w:id="503" w:name="_Toc29275"/>
      <w:bookmarkStart w:id="504" w:name="_Toc12249"/>
      <w:bookmarkStart w:id="505" w:name="_Toc15884"/>
      <w:bookmarkStart w:id="506" w:name="_Toc1548"/>
      <w:bookmarkStart w:id="507" w:name="_Toc31052"/>
      <w:bookmarkStart w:id="508" w:name="_Toc8518"/>
      <w:bookmarkStart w:id="509" w:name="_Toc22540"/>
      <w:bookmarkStart w:id="510" w:name="_Toc1617"/>
      <w:bookmarkStart w:id="511" w:name="_Toc22605"/>
      <w:r>
        <w:rPr>
          <w:rFonts w:ascii="黑体" w:eastAsia="黑体" w:hAnsi="黑体" w:cs="黑体" w:hint="eastAsia"/>
          <w:sz w:val="32"/>
          <w:szCs w:val="32"/>
        </w:rPr>
        <w:lastRenderedPageBreak/>
        <w:t>三、</w:t>
      </w:r>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r>
        <w:rPr>
          <w:rFonts w:ascii="黑体" w:eastAsia="黑体" w:hAnsi="黑体" w:cs="黑体" w:hint="eastAsia"/>
          <w:sz w:val="32"/>
          <w:szCs w:val="32"/>
        </w:rPr>
        <w:t>重点任务</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512" w:name="_Toc9584"/>
      <w:bookmarkStart w:id="513" w:name="_Toc16015"/>
      <w:bookmarkStart w:id="514" w:name="_Toc9138"/>
      <w:bookmarkStart w:id="515" w:name="_Toc7091"/>
      <w:bookmarkStart w:id="516" w:name="_Toc26124"/>
      <w:bookmarkStart w:id="517" w:name="_Toc30171"/>
      <w:bookmarkStart w:id="518" w:name="_Toc13627"/>
      <w:bookmarkStart w:id="519" w:name="_Toc5956"/>
      <w:bookmarkStart w:id="520" w:name="_Toc26590"/>
      <w:bookmarkStart w:id="521" w:name="_Toc14095"/>
      <w:bookmarkStart w:id="522" w:name="_Toc21048"/>
      <w:bookmarkStart w:id="523" w:name="_Toc17046"/>
      <w:bookmarkStart w:id="524" w:name="_Toc585"/>
      <w:bookmarkStart w:id="525" w:name="_Toc17769"/>
      <w:bookmarkStart w:id="526" w:name="_Toc15214"/>
      <w:bookmarkStart w:id="527" w:name="_Toc19172"/>
      <w:bookmarkStart w:id="528" w:name="_Toc17363"/>
      <w:bookmarkStart w:id="529" w:name="_Toc5080"/>
      <w:bookmarkStart w:id="530" w:name="_Toc19228"/>
      <w:bookmarkStart w:id="531" w:name="_Toc22241"/>
      <w:bookmarkStart w:id="532" w:name="_Toc12539"/>
      <w:bookmarkStart w:id="533" w:name="_Toc28708"/>
      <w:bookmarkStart w:id="534" w:name="_Toc5009"/>
      <w:bookmarkStart w:id="535" w:name="_Toc31318"/>
      <w:bookmarkStart w:id="536" w:name="_Toc10011"/>
      <w:bookmarkStart w:id="537" w:name="_Toc12080"/>
      <w:bookmarkStart w:id="538" w:name="_Toc23164"/>
      <w:bookmarkStart w:id="539" w:name="_Toc17437"/>
      <w:bookmarkStart w:id="540" w:name="_Toc15846"/>
      <w:bookmarkStart w:id="541" w:name="_Toc28239"/>
      <w:bookmarkStart w:id="542" w:name="_Toc31834"/>
      <w:bookmarkStart w:id="543" w:name="_Toc26269"/>
      <w:bookmarkStart w:id="544" w:name="_Toc17449"/>
      <w:bookmarkStart w:id="545" w:name="_Toc9712"/>
      <w:bookmarkStart w:id="546" w:name="_Toc18947"/>
      <w:bookmarkStart w:id="547" w:name="_Toc17827"/>
      <w:bookmarkStart w:id="548" w:name="_Toc1145"/>
      <w:bookmarkStart w:id="549" w:name="_Toc20745"/>
      <w:bookmarkStart w:id="550" w:name="_Toc24325"/>
      <w:bookmarkStart w:id="551" w:name="_Toc2935"/>
      <w:bookmarkStart w:id="552" w:name="_Toc26480"/>
      <w:bookmarkStart w:id="553" w:name="_Toc23756"/>
      <w:bookmarkStart w:id="554" w:name="_Toc25517"/>
      <w:bookmarkStart w:id="555" w:name="_Toc16031"/>
      <w:r>
        <w:rPr>
          <w:rFonts w:ascii="楷体_GB2312" w:eastAsia="楷体_GB2312" w:hAnsi="楷体_GB2312" w:cs="楷体_GB2312" w:hint="eastAsia"/>
          <w:sz w:val="32"/>
          <w:szCs w:val="32"/>
        </w:rPr>
        <w:t>（一）加快建立建筑能耗双控路径</w:t>
      </w:r>
      <w:bookmarkEnd w:id="512"/>
      <w:bookmarkEnd w:id="513"/>
      <w:bookmarkEnd w:id="514"/>
      <w:bookmarkEnd w:id="515"/>
      <w:bookmarkEnd w:id="516"/>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贯彻落实国家应对气候变化策略，按照国家及省双碳工作要求，落实东莞市碳达峰行动中建筑碳排放控制任务，会同能源管理部门开展区域能源评估与数据共享，研究基于建筑行业碳排放总量和强度双控的目标引导和分解落实机制。</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加强新建建筑节能监管，新建民用建筑全面按照绿色建筑标准进行建设，严格执行国家、省建筑节能标准，提升新建建筑节能水平。对超高超大公共建筑项目，实行建筑节能设计方案专项评估制度。探索岭南特色超低能耗建筑建设，力争建成2栋岭南特色超低能耗、近零能耗建筑项目。</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推进可再生能源建筑应用。大力发展建筑分布式光伏，新建大型工业厂房，公共建筑屋面太阳能光伏应用比例达到50%以上，进一步加大太阳能光热系统在中低层住宅、酒店、学校建筑中的应用。开展各类可再生能源建筑应用技术研究，制定适合东莞市本地情况的应用项目运行策略。研究在高性能绿色建筑、超低能耗建筑等各类示范项目中，将可再生能源建筑应用比例作为约束性指标。鼓励建设新型建筑电力系统，发展柔性用电建筑。同时，按照广东省相关要求，积极推进区域建筑能源协同发展，鼓励建设区域建筑虚拟电厂建设试点。</w:t>
      </w:r>
    </w:p>
    <w:p w:rsidR="00043727" w:rsidRDefault="00043727">
      <w:pPr>
        <w:pStyle w:val="a0"/>
        <w:rPr>
          <w:rFonts w:ascii="仿宋_GB2312" w:eastAsia="仿宋_GB2312" w:hAnsi="仿宋_GB2312" w:cs="仿宋_GB2312"/>
          <w:sz w:val="32"/>
          <w:szCs w:val="32"/>
        </w:rPr>
      </w:pPr>
    </w:p>
    <w:p w:rsidR="00043727" w:rsidRDefault="00043727">
      <w:pPr>
        <w:pStyle w:val="5"/>
        <w:rPr>
          <w:rFonts w:hint="default"/>
        </w:rPr>
      </w:pP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556" w:name="_Toc9760"/>
      <w:bookmarkStart w:id="557" w:name="_Toc9466"/>
      <w:bookmarkStart w:id="558" w:name="_Toc21312"/>
      <w:bookmarkStart w:id="559" w:name="_Toc31037"/>
      <w:bookmarkStart w:id="560" w:name="_Toc18419"/>
      <w:r>
        <w:rPr>
          <w:rFonts w:ascii="楷体_GB2312" w:eastAsia="楷体_GB2312" w:hAnsi="楷体_GB2312" w:cs="楷体_GB2312" w:hint="eastAsia"/>
          <w:sz w:val="32"/>
          <w:szCs w:val="32"/>
        </w:rPr>
        <w:lastRenderedPageBreak/>
        <w:t>（二）积极拓宽建筑节能改造渠道</w:t>
      </w:r>
      <w:bookmarkEnd w:id="556"/>
      <w:bookmarkEnd w:id="557"/>
      <w:bookmarkEnd w:id="558"/>
      <w:bookmarkEnd w:id="559"/>
      <w:bookmarkEnd w:id="560"/>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建筑能耗基础数，会同能源、电网等相关部门研究制定东莞市公共建筑能耗限额标准，根据标准对既有公共建筑进行评估，将评估不合格的国家机关办公建筑、大型公共建筑和以政府投资为主的其他公共建筑优先纳入改造计划。</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推动既有居住建筑节能绿色化改造。结合海绵城市建设、老旧小区改造等工作，推动既有居住建筑节能和绿色化改造，推广实用型节能改造技术措施应用，鼓励老旧小区按照绿色建筑评价标准进行改造。</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完善既有建筑节能改造政策，认真贯彻《广东省绿色建筑条例》，推动民用建筑绿色化改造。会同财政、银行等部门制定相关激励政策，加快完善建筑节能改造市场机制，推动建筑节能服务机构为建筑运行和既有民用建筑节能改造提供合同能源管理服务。</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561" w:name="_Toc14170"/>
      <w:bookmarkStart w:id="562" w:name="_Toc8520"/>
      <w:bookmarkStart w:id="563" w:name="_Toc24100"/>
      <w:bookmarkStart w:id="564" w:name="_Toc8658"/>
      <w:bookmarkStart w:id="565" w:name="_Toc21151"/>
      <w:r>
        <w:rPr>
          <w:rFonts w:ascii="楷体_GB2312" w:eastAsia="楷体_GB2312" w:hAnsi="楷体_GB2312" w:cs="楷体_GB2312" w:hint="eastAsia"/>
          <w:sz w:val="32"/>
          <w:szCs w:val="32"/>
        </w:rPr>
        <w:t>（三）深入发掘既有建筑低碳潜力</w:t>
      </w:r>
      <w:bookmarkEnd w:id="561"/>
      <w:bookmarkEnd w:id="562"/>
      <w:bookmarkEnd w:id="563"/>
      <w:bookmarkEnd w:id="564"/>
      <w:bookmarkEnd w:id="565"/>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进一步推进与市发改、能源、电网等相关部门的数据共享。加强公共建筑用能管理，统筹分析应用能耗统计、能源审计、能耗监测等数据信息，开展能耗信息公示及披露试点。</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sectPr w:rsidR="00043727">
          <w:headerReference w:type="default" r:id="rId11"/>
          <w:footerReference w:type="default" r:id="rId12"/>
          <w:pgSz w:w="11906" w:h="16838"/>
          <w:pgMar w:top="1440" w:right="1800" w:bottom="1440" w:left="1800" w:header="851" w:footer="992" w:gutter="0"/>
          <w:pgNumType w:start="1"/>
          <w:cols w:space="720"/>
          <w:docGrid w:type="lines" w:linePitch="312"/>
        </w:sectPr>
      </w:pPr>
      <w:r>
        <w:rPr>
          <w:rFonts w:ascii="仿宋_GB2312" w:eastAsia="仿宋_GB2312" w:hAnsi="仿宋_GB2312" w:cs="仿宋_GB2312" w:hint="eastAsia"/>
          <w:sz w:val="32"/>
          <w:szCs w:val="32"/>
        </w:rPr>
        <w:t>强化绿色建筑所有权人或者使用人对绿色建筑的设施设备进行维护保养的主体责任，推动物业管理单位加强绿色建筑运行能耗、环境数据收集统计，保障绿色建筑运行满足管理制度完备、围护结构完好、设施设备和相关系统运行正常、节电节水和环境指标达标、排放和处置符合规定等要求。</w:t>
      </w:r>
      <w:bookmarkStart w:id="566" w:name="_Toc10412"/>
      <w:bookmarkStart w:id="567" w:name="_Toc14904"/>
      <w:bookmarkStart w:id="568" w:name="_Toc12824"/>
      <w:bookmarkStart w:id="569" w:name="_Toc29837"/>
      <w:bookmarkStart w:id="570" w:name="_Toc9136"/>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（四）全面布局绿色建筑发展</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66"/>
      <w:bookmarkEnd w:id="567"/>
      <w:bookmarkEnd w:id="568"/>
      <w:bookmarkEnd w:id="569"/>
      <w:bookmarkEnd w:id="570"/>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广东省绿色建筑专项规划相关编制要求，由东莞市住房和城乡建设局主导，结合我市实际，会同相关部门编制绿色建筑发展专项规划，明确各镇街的星级绿色建筑建设比例和高星级绿色建筑建设分布。加强规划管控，落实专项规划要求，在城镇新建民用建筑全面按照绿色建筑标准进行建设，在组织编制、制定土地供地方案相关环节明确绿色建筑等级等关键指标，并落实到土地使用条件中。</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推动星级绿色建筑发展。全市单体建筑面积大于2万平方米的大型公共建筑和国家机关办公建筑、国有资金参与投资建设的其他公共建筑、计容建筑面积超过5万平方米的住宅（商住）建筑工程项目应当按照一星级及以上绿色建筑标准进行建设；支持松山湖、滨海湾新区、水乡新城、南城国际中央商务区等重点区域发展建设高星级绿色建筑；超高层建筑应按三星级绿色建筑标准建设。相关绿色建筑发展专项规划、建设用地规划条件(或选址意见书)、可行性研究报告、国有建设用地使用权出让合同或者国有土地划拨决定书对绿色建筑标准执行有不同要求的,以要求高的为准。</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sectPr w:rsidR="00043727">
          <w:headerReference w:type="default" r:id="rId13"/>
          <w:footerReference w:type="default" r:id="rId14"/>
          <w:pgSz w:w="11906" w:h="16838"/>
          <w:pgMar w:top="1440" w:right="1800" w:bottom="1440" w:left="1800" w:header="851" w:footer="992" w:gutter="0"/>
          <w:cols w:space="720"/>
          <w:docGrid w:type="lines" w:linePitch="312"/>
        </w:sectPr>
      </w:pPr>
      <w:r>
        <w:rPr>
          <w:rFonts w:ascii="仿宋_GB2312" w:eastAsia="仿宋_GB2312" w:hAnsi="仿宋_GB2312" w:cs="仿宋_GB2312" w:hint="eastAsia"/>
          <w:sz w:val="32"/>
          <w:szCs w:val="32"/>
        </w:rPr>
        <w:t>推进我市绿色低碳城区建设。推动东莞国际商务区绿色低碳建设，研究考察我市重点功能区实施绿色低碳城区的可行性，组织编制绿色低碳城区建设实施方案和建设导则，明</w:t>
      </w:r>
    </w:p>
    <w:p w:rsidR="00043727" w:rsidRDefault="00EF3381">
      <w:pPr>
        <w:adjustRightInd w:val="0"/>
        <w:snapToGrid w:val="0"/>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确发展目标、路径、相关措施，将相关绿色低碳控制指标纳入土地使用条件予以落实。加快构建绿色金融实施体系，创新推动绿色金融产品应用，提升城乡建设领域绿色投融资规模。加大对示范区内高星级绿色建筑项目资金支持，切实推动城乡建设市场机制持续完善，积极培育激发市场活力的营商环境。</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571" w:name="_Toc2154"/>
      <w:bookmarkStart w:id="572" w:name="_Toc12044"/>
      <w:bookmarkStart w:id="573" w:name="_Toc13082"/>
      <w:bookmarkStart w:id="574" w:name="_Toc8438"/>
      <w:bookmarkStart w:id="575" w:name="_Toc9825"/>
      <w:bookmarkStart w:id="576" w:name="_Toc27704"/>
      <w:bookmarkStart w:id="577" w:name="_Toc25476"/>
      <w:bookmarkStart w:id="578" w:name="_Toc6277"/>
      <w:bookmarkStart w:id="579" w:name="_Toc26213"/>
      <w:bookmarkStart w:id="580" w:name="_Toc23135"/>
      <w:bookmarkStart w:id="581" w:name="_Toc4389"/>
      <w:bookmarkStart w:id="582" w:name="_Toc22956"/>
      <w:bookmarkStart w:id="583" w:name="_Toc30472"/>
      <w:bookmarkStart w:id="584" w:name="_Toc3054"/>
      <w:bookmarkStart w:id="585" w:name="_Toc18339"/>
      <w:bookmarkStart w:id="586" w:name="_Toc25381"/>
      <w:bookmarkStart w:id="587" w:name="_Toc17651"/>
      <w:bookmarkStart w:id="588" w:name="_Toc18364"/>
      <w:bookmarkStart w:id="589" w:name="_Toc14436"/>
      <w:bookmarkStart w:id="590" w:name="_Toc24143"/>
      <w:bookmarkStart w:id="591" w:name="_Toc8523"/>
      <w:bookmarkStart w:id="592" w:name="_Toc11667"/>
      <w:bookmarkStart w:id="593" w:name="_Toc32698"/>
      <w:bookmarkStart w:id="594" w:name="_Toc25076"/>
      <w:bookmarkStart w:id="595" w:name="_Toc6944"/>
      <w:bookmarkStart w:id="596" w:name="_Toc21956"/>
      <w:bookmarkStart w:id="597" w:name="_Toc22597"/>
      <w:bookmarkStart w:id="598" w:name="_Toc11377"/>
      <w:bookmarkStart w:id="599" w:name="_Toc7681"/>
      <w:bookmarkStart w:id="600" w:name="_Toc27911"/>
      <w:bookmarkStart w:id="601" w:name="_Toc7795"/>
      <w:bookmarkStart w:id="602" w:name="_Toc23774"/>
      <w:bookmarkStart w:id="603" w:name="_Toc2969"/>
      <w:bookmarkStart w:id="604" w:name="_Toc18668"/>
      <w:bookmarkStart w:id="605" w:name="_Toc13239"/>
      <w:bookmarkStart w:id="606" w:name="_Toc14151"/>
      <w:bookmarkStart w:id="607" w:name="_Toc536"/>
      <w:bookmarkStart w:id="608" w:name="_Toc21418"/>
      <w:bookmarkStart w:id="609" w:name="_Toc20300"/>
      <w:bookmarkStart w:id="610" w:name="_Toc21052"/>
      <w:bookmarkStart w:id="611" w:name="_Toc22434"/>
      <w:r>
        <w:rPr>
          <w:rFonts w:ascii="楷体_GB2312" w:eastAsia="楷体_GB2312" w:hAnsi="楷体_GB2312" w:cs="楷体_GB2312" w:hint="eastAsia"/>
          <w:sz w:val="32"/>
          <w:szCs w:val="32"/>
        </w:rPr>
        <w:t>（五）大力提升建筑绿色健康品质</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结合高星级绿色建筑创建，形成适宜本地条件的多层次、经济性绿色技术实施路线，大力推动绿色建筑技术与智能技术深度融合发展，推动5G、物联网、人工智能等新技术在工程建筑领域的应用，提倡在绿色建筑中优先采用被动式建筑节能技术，积极创建高性能绿色建筑示范项目。</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兼顾平疫结合，提高建筑室内空气品质、水质、隔声性能等方面的健康性能指标，提升建筑视觉和心理舒适性。强化住宅健康性能设计要求，关注全龄化需求、倡导气候适应性、突出岭南特色，引导建设建筑健康性能提升示范项目。</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612" w:name="_Toc5103"/>
      <w:bookmarkStart w:id="613" w:name="_Toc23814"/>
      <w:bookmarkStart w:id="614" w:name="_Toc25622"/>
      <w:bookmarkStart w:id="615" w:name="_Toc9907"/>
      <w:bookmarkStart w:id="616" w:name="_Toc30712"/>
      <w:bookmarkStart w:id="617" w:name="_Toc5730"/>
      <w:bookmarkStart w:id="618" w:name="_Toc20834"/>
      <w:bookmarkStart w:id="619" w:name="_Toc7037"/>
      <w:bookmarkStart w:id="620" w:name="_Toc17255"/>
      <w:bookmarkStart w:id="621" w:name="_Toc11865"/>
      <w:bookmarkStart w:id="622" w:name="_Toc18667"/>
      <w:bookmarkStart w:id="623" w:name="_Toc1800"/>
      <w:bookmarkStart w:id="624" w:name="_Toc31245"/>
      <w:bookmarkStart w:id="625" w:name="_Toc13853"/>
      <w:bookmarkStart w:id="626" w:name="_Toc25879"/>
      <w:bookmarkStart w:id="627" w:name="_Toc1283"/>
      <w:bookmarkStart w:id="628" w:name="_Toc8641"/>
      <w:bookmarkStart w:id="629" w:name="_Toc6508"/>
      <w:bookmarkStart w:id="630" w:name="_Toc24463"/>
      <w:bookmarkStart w:id="631" w:name="_Toc11188"/>
      <w:bookmarkStart w:id="632" w:name="_Toc13413"/>
      <w:bookmarkStart w:id="633" w:name="_Toc1520"/>
      <w:bookmarkStart w:id="634" w:name="_Toc19652"/>
      <w:bookmarkStart w:id="635" w:name="_Toc16320"/>
      <w:bookmarkStart w:id="636" w:name="_Toc14180"/>
      <w:bookmarkStart w:id="637" w:name="_Toc31252"/>
      <w:bookmarkStart w:id="638" w:name="_Toc1044"/>
      <w:bookmarkStart w:id="639" w:name="_Toc24572"/>
      <w:bookmarkStart w:id="640" w:name="_Toc11190"/>
      <w:bookmarkStart w:id="641" w:name="_Toc23040"/>
      <w:bookmarkStart w:id="642" w:name="_Toc16238"/>
      <w:bookmarkStart w:id="643" w:name="_Toc1598"/>
      <w:bookmarkStart w:id="644" w:name="_Toc12819"/>
      <w:bookmarkStart w:id="645" w:name="_Toc31937"/>
      <w:bookmarkStart w:id="646" w:name="_Toc14368"/>
      <w:bookmarkStart w:id="647" w:name="_Toc13770"/>
      <w:bookmarkStart w:id="648" w:name="_Toc2392"/>
      <w:bookmarkStart w:id="649" w:name="_Toc1310"/>
      <w:bookmarkStart w:id="650" w:name="_Toc29885"/>
      <w:bookmarkStart w:id="651" w:name="_Toc8625"/>
      <w:bookmarkStart w:id="652" w:name="_Toc6477"/>
      <w:bookmarkStart w:id="653" w:name="_Toc31207"/>
      <w:bookmarkStart w:id="654" w:name="_Toc5667"/>
      <w:bookmarkStart w:id="655" w:name="_Toc7751"/>
      <w:bookmarkStart w:id="656" w:name="_Toc20196"/>
      <w:bookmarkStart w:id="657" w:name="_Toc10650"/>
      <w:bookmarkStart w:id="658" w:name="_Toc10414"/>
      <w:bookmarkStart w:id="659" w:name="_Toc8234"/>
      <w:bookmarkStart w:id="660" w:name="_Toc2719"/>
      <w:bookmarkStart w:id="661" w:name="_Toc8905"/>
      <w:r>
        <w:rPr>
          <w:rFonts w:ascii="楷体_GB2312" w:eastAsia="楷体_GB2312" w:hAnsi="楷体_GB2312" w:cs="楷体_GB2312" w:hint="eastAsia"/>
          <w:sz w:val="32"/>
          <w:szCs w:val="32"/>
        </w:rPr>
        <w:t>（六）</w:t>
      </w:r>
      <w:bookmarkEnd w:id="612"/>
      <w:bookmarkEnd w:id="613"/>
      <w:bookmarkEnd w:id="614"/>
      <w:bookmarkEnd w:id="615"/>
      <w:bookmarkEnd w:id="616"/>
      <w:bookmarkEnd w:id="617"/>
      <w:r>
        <w:rPr>
          <w:rFonts w:ascii="楷体_GB2312" w:eastAsia="楷体_GB2312" w:hAnsi="楷体_GB2312" w:cs="楷体_GB2312" w:hint="eastAsia"/>
          <w:sz w:val="32"/>
          <w:szCs w:val="32"/>
        </w:rPr>
        <w:t>完善绿色建筑监管机制体制</w:t>
      </w:r>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制定相关配套政策文件，完善绿色建筑规划、设计、施工图审查、施工、质量检测、验收、认定、运行、后评估等全过程监管措施，将绿色建筑监管制度融入各监管环节。</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根据广东省绿色建筑设计、验收、评价等相关技术标准规范，制定东莞市绿色建筑设计审查要点，制定绿色建筑验收管理办法，编制绿色建筑竣工验收导则，加强绿色建筑施</w:t>
      </w:r>
      <w:r>
        <w:rPr>
          <w:rFonts w:ascii="仿宋_GB2312" w:eastAsia="仿宋_GB2312" w:hAnsi="仿宋_GB2312" w:cs="仿宋_GB2312" w:hint="eastAsia"/>
          <w:sz w:val="32"/>
          <w:szCs w:val="32"/>
        </w:rPr>
        <w:lastRenderedPageBreak/>
        <w:t>工督导检查，制定绿色建筑施工方案，研究建筑固体废弃物减量化、资源化管理处理的策略，以及建筑生产过程的污水、扬尘、运输车辆废气、施工噪声、光污染等污染防治措施。开展典型绿色建筑项目后评估，研究推动绿色建筑实际运行效果考核评价。</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国家和广东省规定继续开展星级绿色建筑认定工作，依托“广东省绿色建筑信息平台”，实施绿色建筑标识认定全流程统一管理。对星级绿色建筑实行动态管理，对不符合绿色建筑等级要求的标识项目，给予限期整改或直接撤销标识。</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建立绿色住宅使用者监督机制。新建住宅项目须进行绿色建筑公示，将住宅的绿色建筑等级、绿色性能和全装修质量相关指标纳入商品房买卖合同、住宅质量保证书和住宅使用说明书，引导购房人做好验房工作，告知绿色建筑用户评价和反馈机制。</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662" w:name="_Toc2865"/>
      <w:bookmarkStart w:id="663" w:name="_Toc12261"/>
      <w:bookmarkStart w:id="664" w:name="_Toc25535"/>
      <w:bookmarkStart w:id="665" w:name="_Toc19974"/>
      <w:bookmarkStart w:id="666" w:name="_Toc1144"/>
      <w:bookmarkStart w:id="667" w:name="_Toc11658"/>
      <w:bookmarkStart w:id="668" w:name="_Toc29445"/>
      <w:bookmarkStart w:id="669" w:name="_Toc30483"/>
      <w:bookmarkStart w:id="670" w:name="_Toc21235"/>
      <w:bookmarkStart w:id="671" w:name="_Toc798"/>
      <w:bookmarkStart w:id="672" w:name="_Toc32227"/>
      <w:bookmarkStart w:id="673" w:name="_Toc12638"/>
      <w:bookmarkStart w:id="674" w:name="_Toc5113"/>
      <w:bookmarkStart w:id="675" w:name="_Toc25013"/>
      <w:bookmarkStart w:id="676" w:name="_Toc9820"/>
      <w:bookmarkStart w:id="677" w:name="_Toc31518"/>
      <w:bookmarkStart w:id="678" w:name="_Toc31441"/>
      <w:bookmarkStart w:id="679" w:name="_Toc20502"/>
      <w:bookmarkStart w:id="680" w:name="_Toc23445"/>
      <w:bookmarkStart w:id="681" w:name="_Toc12778"/>
      <w:bookmarkStart w:id="682" w:name="_Toc27397"/>
      <w:bookmarkStart w:id="683" w:name="_Toc29760"/>
      <w:bookmarkStart w:id="684" w:name="_Toc15163"/>
      <w:bookmarkStart w:id="685" w:name="_Toc16758"/>
      <w:bookmarkStart w:id="686" w:name="_Toc18308"/>
      <w:bookmarkStart w:id="687" w:name="_Toc21495"/>
      <w:bookmarkStart w:id="688" w:name="_Toc12419"/>
      <w:bookmarkStart w:id="689" w:name="_Toc4469"/>
      <w:bookmarkStart w:id="690" w:name="_Toc31014"/>
      <w:bookmarkStart w:id="691" w:name="_Toc2360"/>
      <w:bookmarkStart w:id="692" w:name="_Toc31496"/>
      <w:bookmarkStart w:id="693" w:name="_Toc3278"/>
      <w:bookmarkStart w:id="694" w:name="_Toc18699"/>
      <w:bookmarkStart w:id="695" w:name="_Toc15590"/>
      <w:bookmarkStart w:id="696" w:name="_Toc15025"/>
      <w:bookmarkStart w:id="697" w:name="_Toc21710"/>
      <w:bookmarkStart w:id="698" w:name="_Toc2742"/>
      <w:bookmarkStart w:id="699" w:name="_Toc23209"/>
      <w:bookmarkStart w:id="700" w:name="_Toc7120"/>
      <w:bookmarkStart w:id="701" w:name="_Toc19942"/>
      <w:r>
        <w:rPr>
          <w:rFonts w:ascii="楷体_GB2312" w:eastAsia="楷体_GB2312" w:hAnsi="楷体_GB2312" w:cs="楷体_GB2312" w:hint="eastAsia"/>
          <w:sz w:val="32"/>
          <w:szCs w:val="32"/>
        </w:rPr>
        <w:t>（七）提高建筑材料绿色化水平与质量</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贯彻落实散装水泥、新型墙材等建筑工程材料绿色化发展地方性法规。参考省级散装水泥、新型墙材、绿色建材工作管理机制体制，建立健全市级相应工作管理机制体制，升级“东莞市新型墙材企业信息管理系统”及“东莞市预拌混凝土质量动态监管信息系统”，改革创新管理模式。落实政策法规，提升行业精细化管理水平。</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提升行业绿色发展水平。采取总量平衡、合理控制原则</w:t>
      </w:r>
      <w:r>
        <w:rPr>
          <w:rFonts w:ascii="仿宋_GB2312" w:eastAsia="仿宋_GB2312" w:hAnsi="仿宋_GB2312" w:cs="仿宋_GB2312" w:hint="eastAsia"/>
          <w:sz w:val="32"/>
          <w:szCs w:val="32"/>
        </w:rPr>
        <w:lastRenderedPageBreak/>
        <w:t>科学审批预拌混凝土搅拌站建设，加强预拌砂浆搅拌站规范化监管。发展新型墙材绿色化、智能化生产试点。深入推进预拌混凝土企业绿色化改造，维持并稳步提升预拌混凝土企业绿色生产水平。根据预拌混凝土企业绿色生产达标通用要求和本地评分细则，定期对全市预拌混凝土、预拌砂浆生产企业开展质量抽查和专项整治工作。参考省级散装水泥、新型墙材、绿色建材工作管理机制体制，建立健全预拌混凝土、预拌砂浆动态管理机制，促进行业优胜劣汰，加快绿色转型发展。进一步完善预拌混凝土及砂浆企业管理，进一步落实《预拌混凝土生产质量管理技术规程》、《广东省发展新型墙体材料管理规定》（广东省政府令第 95 号）、《关于推广应用新型墙体材料有关事项的通知》（东建节能〔2018〕12 号）、《关于预拌混凝土企业差异化管理及优化试验检测措施的通知》（东建质函〔2020〕19号）、《关于明确预拌混凝土动态质量监管信息系统涉企费用相关事项的通知》（东建质函〔2020〕16号）、《关于进一步加强我市建设用砂使用环节质量监管的通知》、《关于印发&lt;东莞市全面推广建设工程混凝土植入芯片工作方案&gt;的通知》(东建质函〔2019〕21号)、《关于加强我市预拌混凝土原材料质量监管的通知》(东建质函〔2021〕10号) 、《关于进一步加强我市预拌砂浆监督管理的通知》等地方政策，开展预拌混凝土和砂浆的智能化生产试点示范。</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会同有关部门，强化进场材料质量监管。加强建材生产、</w:t>
      </w:r>
      <w:r>
        <w:rPr>
          <w:rFonts w:ascii="仿宋_GB2312" w:eastAsia="仿宋_GB2312" w:hAnsi="仿宋_GB2312" w:cs="仿宋_GB2312" w:hint="eastAsia"/>
          <w:sz w:val="32"/>
          <w:szCs w:val="32"/>
        </w:rPr>
        <w:lastRenderedPageBreak/>
        <w:t>流通和使用环节的质量监管和检查，加强建材应用备案管理，建立建材质量从生产企业到施工现场的可追溯机制，严禁性能不达标的建材流入市场。</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702" w:name="_Toc25101"/>
      <w:bookmarkStart w:id="703" w:name="_Toc2101"/>
      <w:bookmarkStart w:id="704" w:name="_Toc13461"/>
      <w:bookmarkStart w:id="705" w:name="_Toc5348"/>
      <w:bookmarkStart w:id="706" w:name="_Toc11820"/>
      <w:bookmarkStart w:id="707" w:name="_Toc22685"/>
      <w:bookmarkStart w:id="708" w:name="_Toc28278"/>
      <w:bookmarkStart w:id="709" w:name="_Toc14707"/>
      <w:bookmarkStart w:id="710" w:name="_Toc1748"/>
      <w:bookmarkStart w:id="711" w:name="_Toc30036"/>
      <w:bookmarkStart w:id="712" w:name="_Toc27394"/>
      <w:bookmarkStart w:id="713" w:name="_Toc24773"/>
      <w:bookmarkStart w:id="714" w:name="_Toc24599"/>
      <w:bookmarkStart w:id="715" w:name="_Toc14587"/>
      <w:bookmarkStart w:id="716" w:name="_Toc9187"/>
      <w:bookmarkStart w:id="717" w:name="_Toc11930"/>
      <w:bookmarkStart w:id="718" w:name="_Toc20967"/>
      <w:bookmarkStart w:id="719" w:name="_Toc24938"/>
      <w:bookmarkStart w:id="720" w:name="_Toc11436"/>
      <w:bookmarkStart w:id="721" w:name="_Toc30038"/>
      <w:bookmarkStart w:id="722" w:name="_Toc14143"/>
      <w:bookmarkStart w:id="723" w:name="_Toc7858"/>
      <w:bookmarkStart w:id="724" w:name="_Toc4329"/>
      <w:bookmarkStart w:id="725" w:name="_Toc25977"/>
      <w:bookmarkStart w:id="726" w:name="_Toc3299"/>
      <w:bookmarkStart w:id="727" w:name="_Toc24725"/>
      <w:bookmarkStart w:id="728" w:name="_Toc14225"/>
      <w:bookmarkStart w:id="729" w:name="_Toc6906"/>
      <w:bookmarkStart w:id="730" w:name="_Toc1212"/>
      <w:bookmarkStart w:id="731" w:name="_Toc2279"/>
      <w:bookmarkStart w:id="732" w:name="_Toc30029"/>
      <w:bookmarkStart w:id="733" w:name="_Toc13987"/>
      <w:bookmarkStart w:id="734" w:name="_Toc364"/>
      <w:bookmarkStart w:id="735" w:name="_Toc24634"/>
      <w:bookmarkStart w:id="736" w:name="_Toc30333"/>
      <w:bookmarkStart w:id="737" w:name="_Toc4745"/>
      <w:bookmarkStart w:id="738" w:name="_Toc6490"/>
      <w:bookmarkStart w:id="739" w:name="_Toc27943"/>
      <w:bookmarkStart w:id="740" w:name="_Toc7336"/>
      <w:bookmarkStart w:id="741" w:name="_Toc13785"/>
      <w:bookmarkStart w:id="742" w:name="_Toc31925"/>
      <w:bookmarkStart w:id="743" w:name="_Toc27765"/>
      <w:bookmarkStart w:id="744" w:name="_Toc10989"/>
      <w:bookmarkStart w:id="745" w:name="_Toc29056"/>
      <w:bookmarkStart w:id="746" w:name="_Toc25955"/>
      <w:bookmarkStart w:id="747" w:name="_Toc23049"/>
      <w:bookmarkStart w:id="748" w:name="_Toc13013"/>
      <w:bookmarkStart w:id="749" w:name="_Toc16866"/>
      <w:bookmarkStart w:id="750" w:name="_Toc29367"/>
      <w:bookmarkStart w:id="751" w:name="_Toc18116"/>
      <w:r>
        <w:rPr>
          <w:rFonts w:ascii="楷体_GB2312" w:eastAsia="楷体_GB2312" w:hAnsi="楷体_GB2312" w:cs="楷体_GB2312" w:hint="eastAsia"/>
          <w:sz w:val="32"/>
          <w:szCs w:val="32"/>
        </w:rPr>
        <w:t>（八）</w:t>
      </w:r>
      <w:bookmarkEnd w:id="702"/>
      <w:bookmarkEnd w:id="703"/>
      <w:bookmarkEnd w:id="704"/>
      <w:bookmarkEnd w:id="705"/>
      <w:bookmarkEnd w:id="706"/>
      <w:bookmarkEnd w:id="707"/>
      <w:r>
        <w:rPr>
          <w:rFonts w:ascii="楷体_GB2312" w:eastAsia="楷体_GB2312" w:hAnsi="楷体_GB2312" w:cs="楷体_GB2312" w:hint="eastAsia"/>
          <w:sz w:val="32"/>
          <w:szCs w:val="32"/>
        </w:rPr>
        <w:t>大力推动新型材料绿色建材应用</w:t>
      </w:r>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全市禁止使用实心粘土砖，限制使用粘土制品。强化执法力度，打击使用实心粘土砖和劣质墙材行为。开展建筑工地新型墙体材料抽查，核查设计图纸及施工现场砌体工程是否使用国家和我省颁布的新型墙体材料。加强信息公开，实施企业诚信激励，制定并严格落实《关于进一步加强建设工程商品（预拌）混凝土使用行为管理工作的通知》，进一步提升散装水泥使用率，建设工程禁止现场搅拌混凝土和砂浆及临时搅拌站，积极督促管辖范围内的在建工程使用有资质的商品（预拌）混凝土企业生产的混凝土，取缔无资质搅拌站，加大对产品质量低劣的搅拌站、现场违规使用袋装水泥和现场搅拌混凝土行为的处罚力度，按照《广东省促进散装水泥发展和应用规定》，对相关责任单位及责任人实施行政处罚。</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不断发展节能环保、轻质高强的墙体和屋面材料，推进利用可再生资源制备新型墙体材料。以建筑垃圾综合资源化利用为重点，加强再生建材生产技术和工艺研发及推广应用，建立城市更新项目建筑废弃物处理全过程监管的长效管理机制。大力推广混凝土及水泥制品生产过程的三废零排放技术应用、废弃物综合再生利用技术和节能减排生产技术，</w:t>
      </w:r>
      <w:r>
        <w:rPr>
          <w:rFonts w:ascii="仿宋_GB2312" w:eastAsia="仿宋_GB2312" w:hAnsi="仿宋_GB2312" w:cs="仿宋_GB2312" w:hint="eastAsia"/>
          <w:sz w:val="32"/>
          <w:szCs w:val="32"/>
        </w:rPr>
        <w:lastRenderedPageBreak/>
        <w:t>促进资源循环利用。大力推广机制砂，加强机制砂相关技术的宣贯和培训，发布并严格落实《关于进一步加强机制砂使用质量监管的通知》，研究机制砂混凝土施工方法，培育产学研中心。扶持蒸压加气混凝土砌块（墙板）、高性能精密轻集料混凝土砌块等墙板、砌块类新型墙体材料。进一步推广应用高性能混凝土和特殊材料新型混凝土，发展生态修复混凝土制品。</w:t>
      </w:r>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展提升建筑使用功能、健康性能的绿色建材产品关键技术研发，参考省绿色建材产品指标，因地制宜，制定适用于本市的产品指标，推动技术创新，提升性能要求，研究建立不同类型建筑内部空间适宜的建材产品数据库。开展绿色建材应用试点示范，加强示范引领，逐步建立绿色建材发展长效机制，管理本地绿色建材。</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752" w:name="_Toc31012"/>
      <w:r>
        <w:rPr>
          <w:rFonts w:ascii="楷体_GB2312" w:eastAsia="楷体_GB2312" w:hAnsi="楷体_GB2312" w:cs="楷体_GB2312" w:hint="eastAsia"/>
          <w:sz w:val="32"/>
          <w:szCs w:val="32"/>
        </w:rPr>
        <w:t>（九）培育壮大新型建筑工业化产业链和人才队伍</w:t>
      </w:r>
      <w:bookmarkEnd w:id="752"/>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促进产业集群。综合考虑部品部件运输和服务半径，统筹产业基地布局，配套建设5个混凝土部品部件产业基地和4个钢结构部品部件产业基地，促进产能供需平衡。继续开展装配式建筑示范区域、产业基地和示范项目认定，发挥示范引领作用。支持智能建造与建筑工业化协同发展示范项目落地实施，发挥大型国有企业智能建造与建筑工业化协同发展示范作用，大力支持以装配式建筑产业基地等为核心基础、集聚发展的建筑工业化智能科技园项目落地实施。推动装配式建筑设计、生产、施工、检测、监理等各环节实施主</w:t>
      </w:r>
      <w:r>
        <w:rPr>
          <w:rFonts w:ascii="仿宋_GB2312" w:eastAsia="仿宋_GB2312" w:hAnsi="仿宋_GB2312" w:cs="仿宋_GB2312" w:hint="eastAsia"/>
          <w:sz w:val="32"/>
          <w:szCs w:val="32"/>
        </w:rPr>
        <w:lastRenderedPageBreak/>
        <w:t>体提升装配式建筑实施水平，形成具有核心竞争力和行业带动力的装配式建筑全产业集群。</w:t>
      </w:r>
    </w:p>
    <w:p w:rsidR="00043727" w:rsidRDefault="00EF3381">
      <w:pPr>
        <w:adjustRightInd w:val="0"/>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壮大产业队伍。开展行业发展人才需求调研，加强与教育部门联动，开设装配式建筑相关专业，在建筑行业专业技术人员继续教育中增加装配式建筑相关内容，培养装配式建筑设计、生产、施工、管理等专业人才。坚持产教融合、校企合作。创建装配式建筑专业技术学习平台，向学员发放课程认证资格证。加强对在职建筑工人的培训。完善装配式建筑职业技能鉴定体系与人才培养体系。</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753" w:name="_Toc15280"/>
      <w:r>
        <w:rPr>
          <w:rFonts w:ascii="楷体_GB2312" w:eastAsia="楷体_GB2312" w:hAnsi="楷体_GB2312" w:cs="楷体_GB2312" w:hint="eastAsia"/>
          <w:sz w:val="32"/>
          <w:szCs w:val="32"/>
        </w:rPr>
        <w:t>（十）提升装配式建筑全过程“六化”水平</w:t>
      </w:r>
      <w:bookmarkEnd w:id="753"/>
    </w:p>
    <w:p w:rsidR="00043727" w:rsidRDefault="00EF3381">
      <w:pPr>
        <w:adjustRightInd w:val="0"/>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装配式建筑以“六化一体”的建造方式为典型特征，即设计标准化、生产工厂化、施工装配化、装修一体化、管理信息化和应用智能化。推行装配式建筑一体化集成设计，强化装配式建筑设计对部品部件生产、安装施工、装饰装修等环节的统筹，提高标准化部品部件的应用比例。利用建筑信息模型（BIM）技术提升装配式建筑工程管理水平，推进BIM技术在装配式建筑规划、勘察、设计、生产、施工、装修、运行维护全过程的集成应用。推行标准化施工，装配式建筑原则上采用工程总承包模式，实行装配式建筑装饰装修与主体结构、机电设备协同施工，发挥结构与装修穿插施工优势，提高施工现场管理水平。推进建筑全装修和装配化装修，装配式建筑工程项目推广全装修，倡导菜单式全装修，推进装配化装修技术在公共住房以及酒店、医院等公共建筑项目中</w:t>
      </w:r>
      <w:r>
        <w:rPr>
          <w:rFonts w:ascii="仿宋_GB2312" w:eastAsia="仿宋_GB2312" w:hAnsi="仿宋_GB2312" w:cs="仿宋_GB2312" w:hint="eastAsia"/>
          <w:sz w:val="32"/>
          <w:szCs w:val="32"/>
        </w:rPr>
        <w:lastRenderedPageBreak/>
        <w:t>的应用，推广管线分离、一体化装修技术，提高装修品质。</w:t>
      </w:r>
    </w:p>
    <w:p w:rsidR="00043727" w:rsidRDefault="00EF3381">
      <w:pPr>
        <w:adjustRightInd w:val="0"/>
        <w:snapToGrid w:val="0"/>
        <w:spacing w:line="600" w:lineRule="exact"/>
        <w:ind w:firstLineChars="200" w:firstLine="640"/>
        <w:outlineLvl w:val="0"/>
        <w:rPr>
          <w:rFonts w:ascii="黑体" w:eastAsia="黑体" w:hAnsi="黑体" w:cs="黑体"/>
          <w:sz w:val="32"/>
          <w:szCs w:val="32"/>
        </w:rPr>
      </w:pPr>
      <w:bookmarkStart w:id="754" w:name="_Toc19759"/>
      <w:bookmarkStart w:id="755" w:name="_Toc22109"/>
      <w:bookmarkStart w:id="756" w:name="_Toc28107"/>
      <w:bookmarkStart w:id="757" w:name="_Toc8369"/>
      <w:bookmarkStart w:id="758" w:name="_Toc31914"/>
      <w:bookmarkStart w:id="759" w:name="_Toc224"/>
      <w:bookmarkStart w:id="760" w:name="_Toc212"/>
      <w:bookmarkStart w:id="761" w:name="_Toc9465"/>
      <w:bookmarkStart w:id="762" w:name="_Toc30572"/>
      <w:bookmarkStart w:id="763" w:name="_Toc12780"/>
      <w:bookmarkStart w:id="764" w:name="_Toc29146"/>
      <w:bookmarkStart w:id="765" w:name="_Toc6668"/>
      <w:bookmarkStart w:id="766" w:name="_Toc32522"/>
      <w:bookmarkStart w:id="767" w:name="_Toc5528"/>
      <w:bookmarkStart w:id="768" w:name="_Toc28240"/>
      <w:bookmarkStart w:id="769" w:name="_Toc941"/>
      <w:bookmarkStart w:id="770" w:name="_Toc14228"/>
      <w:bookmarkStart w:id="771" w:name="_Toc30473"/>
      <w:bookmarkStart w:id="772" w:name="_Toc26960"/>
      <w:bookmarkStart w:id="773" w:name="_Toc1885"/>
      <w:bookmarkStart w:id="774" w:name="_Toc18222"/>
      <w:bookmarkStart w:id="775" w:name="_Toc29904"/>
      <w:bookmarkStart w:id="776" w:name="_Toc22164"/>
      <w:bookmarkStart w:id="777" w:name="_Toc10371"/>
      <w:bookmarkStart w:id="778" w:name="_Toc26141"/>
      <w:bookmarkStart w:id="779" w:name="_Toc15581"/>
      <w:bookmarkStart w:id="780" w:name="_Toc25177"/>
      <w:bookmarkStart w:id="781" w:name="_Toc60"/>
      <w:r>
        <w:rPr>
          <w:rFonts w:ascii="黑体" w:eastAsia="黑体" w:hAnsi="黑体" w:cs="黑体" w:hint="eastAsia"/>
          <w:sz w:val="32"/>
          <w:szCs w:val="32"/>
        </w:rPr>
        <w:t>四、保障措施</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782" w:name="_Toc8959"/>
      <w:bookmarkStart w:id="783" w:name="_Toc20219"/>
      <w:bookmarkStart w:id="784" w:name="_Toc2240"/>
      <w:bookmarkStart w:id="785" w:name="_Toc10762"/>
      <w:bookmarkStart w:id="786" w:name="_Toc31656"/>
      <w:bookmarkStart w:id="787" w:name="_Toc27506"/>
      <w:bookmarkStart w:id="788" w:name="_Toc29278"/>
      <w:bookmarkStart w:id="789" w:name="_Toc21827"/>
      <w:bookmarkStart w:id="790" w:name="_Toc1246"/>
      <w:bookmarkStart w:id="791" w:name="_Toc22335"/>
      <w:bookmarkStart w:id="792" w:name="_Toc3583"/>
      <w:bookmarkStart w:id="793" w:name="_Toc18944"/>
      <w:bookmarkStart w:id="794" w:name="_Toc30344"/>
      <w:bookmarkStart w:id="795" w:name="_Toc13992"/>
      <w:bookmarkStart w:id="796" w:name="_Toc2765"/>
      <w:bookmarkStart w:id="797" w:name="_Toc15200"/>
      <w:bookmarkStart w:id="798" w:name="_Toc6113"/>
      <w:bookmarkStart w:id="799" w:name="_Toc1201"/>
      <w:bookmarkStart w:id="800" w:name="_Toc15346"/>
      <w:bookmarkStart w:id="801" w:name="_Toc4594"/>
      <w:bookmarkStart w:id="802" w:name="_Toc28872"/>
      <w:bookmarkStart w:id="803" w:name="_Toc30103"/>
      <w:bookmarkStart w:id="804" w:name="_Toc29905"/>
      <w:bookmarkStart w:id="805" w:name="_Toc23664"/>
      <w:bookmarkStart w:id="806" w:name="_Toc16922"/>
      <w:bookmarkStart w:id="807" w:name="_Toc27801"/>
      <w:bookmarkStart w:id="808" w:name="_Toc5050"/>
      <w:bookmarkStart w:id="809" w:name="_Toc12732"/>
      <w:bookmarkStart w:id="810" w:name="_Toc3608"/>
      <w:bookmarkStart w:id="811" w:name="_Toc25513"/>
      <w:bookmarkStart w:id="812" w:name="_Toc5203"/>
      <w:bookmarkStart w:id="813" w:name="_Toc25735"/>
      <w:bookmarkStart w:id="814" w:name="_Toc14983"/>
      <w:bookmarkStart w:id="815" w:name="_Toc27513"/>
      <w:bookmarkStart w:id="816" w:name="_Toc8790"/>
      <w:bookmarkStart w:id="817" w:name="_Toc11934"/>
      <w:bookmarkStart w:id="818" w:name="_Toc6894"/>
      <w:bookmarkStart w:id="819" w:name="_Toc5670"/>
      <w:bookmarkStart w:id="820" w:name="_Toc18026"/>
      <w:bookmarkStart w:id="821" w:name="_Toc27764"/>
      <w:bookmarkStart w:id="822" w:name="_Toc28223"/>
      <w:bookmarkStart w:id="823" w:name="_Toc14782"/>
      <w:bookmarkStart w:id="824" w:name="_Toc25986"/>
      <w:bookmarkStart w:id="825" w:name="_Toc18057"/>
      <w:bookmarkStart w:id="826" w:name="_Toc25790"/>
      <w:bookmarkStart w:id="827" w:name="_Toc32355"/>
      <w:bookmarkStart w:id="828" w:name="_Toc15797"/>
      <w:bookmarkStart w:id="829" w:name="_Toc14335"/>
      <w:bookmarkStart w:id="830" w:name="_Toc6643"/>
      <w:bookmarkStart w:id="831" w:name="_Toc12968"/>
      <w:bookmarkStart w:id="832" w:name="_Toc1698"/>
      <w:bookmarkStart w:id="833" w:name="_Toc29132"/>
      <w:bookmarkStart w:id="834" w:name="_Toc16159"/>
      <w:bookmarkStart w:id="835" w:name="_Toc25337"/>
      <w:bookmarkStart w:id="836" w:name="_Toc723"/>
      <w:bookmarkStart w:id="837" w:name="_Toc21228"/>
      <w:bookmarkStart w:id="838" w:name="_Toc5378"/>
      <w:bookmarkStart w:id="839" w:name="_Toc31036"/>
      <w:bookmarkStart w:id="840" w:name="_Toc13387"/>
      <w:bookmarkStart w:id="841" w:name="_Toc29903"/>
      <w:bookmarkStart w:id="842" w:name="_Toc7836"/>
      <w:bookmarkStart w:id="843" w:name="_Toc22336"/>
      <w:bookmarkStart w:id="844" w:name="_Toc16677"/>
      <w:bookmarkStart w:id="845" w:name="_Toc10424"/>
      <w:r>
        <w:rPr>
          <w:rFonts w:ascii="楷体_GB2312" w:eastAsia="楷体_GB2312" w:hAnsi="楷体_GB2312" w:cs="楷体_GB2312" w:hint="eastAsia"/>
          <w:sz w:val="32"/>
          <w:szCs w:val="32"/>
        </w:rPr>
        <w:t>（一）加强组织领导</w:t>
      </w:r>
      <w:bookmarkEnd w:id="782"/>
      <w:bookmarkEnd w:id="783"/>
      <w:bookmarkEnd w:id="784"/>
      <w:bookmarkEnd w:id="785"/>
      <w:bookmarkEnd w:id="786"/>
    </w:p>
    <w:p w:rsidR="00043727" w:rsidRDefault="00EF3381">
      <w:pPr>
        <w:adjustRightInd w:val="0"/>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各级住房城乡建设主管部门要加强组织领导，依托本地区建筑节能与绿色建筑管理机构、散装水泥主管机构、墙材革新机构和工程质量安全监督机构，建立健全工作机制，强化工作责任，加强监督管理，推动各项工作的落实，结合实际情况，制定实施计划。同时，会同发展改革、自然资源、工业与信息化、市场监管、财政等有关部门加强协作，出台配套支持政策，密切协作配合，形成工作合力，推行部门联动，明确部门任务（详见附件1），共同推动建筑工程绿色与装配式发展。</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846" w:name="_Toc25162"/>
      <w:bookmarkStart w:id="847" w:name="_Toc10851"/>
      <w:bookmarkStart w:id="848" w:name="_Toc7480"/>
      <w:bookmarkStart w:id="849" w:name="_Toc22750"/>
      <w:bookmarkStart w:id="850" w:name="_Toc7390"/>
      <w:r>
        <w:rPr>
          <w:rFonts w:ascii="楷体_GB2312" w:eastAsia="楷体_GB2312" w:hAnsi="楷体_GB2312" w:cs="楷体_GB2312" w:hint="eastAsia"/>
          <w:sz w:val="32"/>
          <w:szCs w:val="32"/>
        </w:rPr>
        <w:t>（二）强化目标考核</w:t>
      </w:r>
      <w:bookmarkEnd w:id="846"/>
      <w:bookmarkEnd w:id="847"/>
      <w:bookmarkEnd w:id="848"/>
      <w:bookmarkEnd w:id="849"/>
      <w:bookmarkEnd w:id="850"/>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bookmarkStart w:id="851" w:name="_Toc10553"/>
      <w:bookmarkStart w:id="852" w:name="_Toc32550"/>
      <w:bookmarkStart w:id="853" w:name="_Toc6452"/>
      <w:bookmarkStart w:id="854" w:name="_Toc22683"/>
      <w:r>
        <w:rPr>
          <w:rFonts w:ascii="仿宋_GB2312" w:eastAsia="仿宋_GB2312" w:hAnsi="仿宋_GB2312" w:cs="仿宋_GB2312" w:hint="eastAsia"/>
          <w:sz w:val="32"/>
          <w:szCs w:val="32"/>
        </w:rPr>
        <w:t>市住房城乡建设局会同有关部门加强对本规划落实情况的指导监督，将相关工作完成情况纳入市政府对各街道、镇绩效考核及年度考核要求。各街道、镇应当对本地区绿色建筑、建筑节能、装配式建筑、散装水泥等发展成效进行评价，及时总结进展情况，形成年度报告，并于每年年底前报市住房城乡建设局。对目标责任不落实、实施进度落后的地区，进行通报批评，对超额完成、提前完成目标的地区予以表扬奖励。</w:t>
      </w:r>
      <w:bookmarkEnd w:id="851"/>
      <w:bookmarkEnd w:id="852"/>
      <w:bookmarkEnd w:id="853"/>
      <w:bookmarkEnd w:id="854"/>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855" w:name="_Toc6902"/>
      <w:bookmarkStart w:id="856" w:name="_Toc15237"/>
      <w:bookmarkStart w:id="857" w:name="_Toc11191"/>
      <w:bookmarkStart w:id="858" w:name="_Toc26739"/>
      <w:bookmarkStart w:id="859" w:name="_Toc15454"/>
      <w:r>
        <w:rPr>
          <w:rFonts w:ascii="楷体_GB2312" w:eastAsia="楷体_GB2312" w:hAnsi="楷体_GB2312" w:cs="楷体_GB2312" w:hint="eastAsia"/>
          <w:sz w:val="32"/>
          <w:szCs w:val="32"/>
        </w:rPr>
        <w:t>（三）</w:t>
      </w:r>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r>
        <w:rPr>
          <w:rFonts w:ascii="楷体_GB2312" w:eastAsia="楷体_GB2312" w:hAnsi="楷体_GB2312" w:cs="楷体_GB2312" w:hint="eastAsia"/>
          <w:sz w:val="32"/>
          <w:szCs w:val="32"/>
        </w:rPr>
        <w:t>加大政策激励</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55"/>
      <w:bookmarkEnd w:id="856"/>
      <w:bookmarkEnd w:id="857"/>
      <w:bookmarkEnd w:id="858"/>
      <w:bookmarkEnd w:id="859"/>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研究完善市落实省级建筑领域节能专项资金使用管理</w:t>
      </w:r>
      <w:r>
        <w:rPr>
          <w:rFonts w:ascii="仿宋_GB2312" w:eastAsia="仿宋_GB2312" w:hAnsi="仿宋_GB2312" w:cs="仿宋_GB2312" w:hint="eastAsia"/>
          <w:sz w:val="32"/>
          <w:szCs w:val="32"/>
        </w:rPr>
        <w:lastRenderedPageBreak/>
        <w:t>制度，加大节能专项资金投入，拓宽专项资金支持范围，重点支持绿色建筑发展专项规划的编制、技术与产品的研发、示范项目的建设与推广、标准制定等相关工作。会同有关部门和金融机构制定激励措施推动绿色建筑发展，积极完善绿色金融支持政策，通过绿色信贷、绿色保险、绿色债券等多种方式为绿色建筑发展提供绿色金融服务；按规定因采取绿色建筑相关技术措施增加的建筑面积不计入容积率核算；落实住房公积金贷款购买星级绿色建筑自住住房的贷款额度按规定比例上浮；考虑对实施绿色建筑成效</w:t>
      </w:r>
      <w:r w:rsidR="005B791B">
        <w:rPr>
          <w:rFonts w:ascii="仿宋_GB2312" w:eastAsia="仿宋_GB2312" w:hAnsi="仿宋_GB2312" w:cs="仿宋_GB2312" w:hint="eastAsia"/>
          <w:sz w:val="32"/>
          <w:szCs w:val="32"/>
        </w:rPr>
        <w:t>显著</w:t>
      </w:r>
      <w:r>
        <w:rPr>
          <w:rFonts w:ascii="仿宋_GB2312" w:eastAsia="仿宋_GB2312" w:hAnsi="仿宋_GB2312" w:cs="仿宋_GB2312" w:hint="eastAsia"/>
          <w:sz w:val="32"/>
          <w:szCs w:val="32"/>
        </w:rPr>
        <w:t>的企业，在企业资质年检、资质升级换证、项目招投标中给予免检、优先和加分等奖励；采用最高等级标准建设或者采用装配式商品房全装修方式建造的项目，在各类建筑工程奖项评审中可以优先推荐。</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860" w:name="_Toc4230"/>
      <w:bookmarkStart w:id="861" w:name="_Toc154"/>
      <w:bookmarkStart w:id="862" w:name="_Toc31149"/>
      <w:bookmarkStart w:id="863" w:name="_Toc11913"/>
      <w:bookmarkStart w:id="864" w:name="_Toc10014"/>
      <w:bookmarkStart w:id="865" w:name="_Toc5374"/>
      <w:bookmarkStart w:id="866" w:name="_Toc30762"/>
      <w:bookmarkStart w:id="867" w:name="_Toc24524"/>
      <w:bookmarkStart w:id="868" w:name="_Toc18232"/>
      <w:bookmarkStart w:id="869" w:name="_Toc11635"/>
      <w:bookmarkStart w:id="870" w:name="_Toc16101"/>
      <w:bookmarkStart w:id="871" w:name="_Toc19052"/>
      <w:bookmarkStart w:id="872" w:name="_Toc10904"/>
      <w:bookmarkStart w:id="873" w:name="_Toc16690"/>
      <w:bookmarkStart w:id="874" w:name="_Toc5194"/>
      <w:bookmarkStart w:id="875" w:name="_Toc11259"/>
      <w:bookmarkStart w:id="876" w:name="_Toc18215"/>
      <w:bookmarkStart w:id="877" w:name="_Toc5904"/>
      <w:bookmarkStart w:id="878" w:name="_Toc18194"/>
      <w:bookmarkStart w:id="879" w:name="_Toc21740"/>
      <w:bookmarkStart w:id="880" w:name="_Toc19979"/>
      <w:bookmarkStart w:id="881" w:name="_Toc28654"/>
      <w:bookmarkStart w:id="882" w:name="_Toc14946"/>
      <w:bookmarkStart w:id="883" w:name="_Toc8689"/>
      <w:bookmarkStart w:id="884" w:name="_Toc26929"/>
      <w:bookmarkStart w:id="885" w:name="_Toc26247"/>
      <w:bookmarkStart w:id="886" w:name="_Toc23038"/>
      <w:bookmarkStart w:id="887" w:name="_Toc15170"/>
      <w:bookmarkStart w:id="888" w:name="_Toc18784"/>
      <w:bookmarkStart w:id="889" w:name="_Toc1896"/>
      <w:bookmarkStart w:id="890" w:name="_Toc23401"/>
      <w:bookmarkStart w:id="891" w:name="_Toc9751"/>
      <w:bookmarkStart w:id="892" w:name="_Toc8314"/>
      <w:bookmarkStart w:id="893" w:name="_Toc24658"/>
      <w:bookmarkStart w:id="894" w:name="_Toc14627"/>
      <w:bookmarkStart w:id="895" w:name="_Toc21405"/>
      <w:bookmarkStart w:id="896" w:name="_Toc2315"/>
      <w:bookmarkStart w:id="897" w:name="_Toc6761"/>
      <w:bookmarkStart w:id="898" w:name="_Toc10224"/>
      <w:bookmarkStart w:id="899" w:name="_Toc17161"/>
      <w:bookmarkStart w:id="900" w:name="_Toc14994"/>
      <w:bookmarkStart w:id="901" w:name="_Toc13274"/>
      <w:bookmarkStart w:id="902" w:name="_Toc10730"/>
      <w:bookmarkStart w:id="903" w:name="_Toc10036"/>
      <w:bookmarkStart w:id="904" w:name="_Toc3832"/>
      <w:bookmarkStart w:id="905" w:name="_Toc21425"/>
      <w:bookmarkStart w:id="906" w:name="_Toc19919"/>
      <w:bookmarkStart w:id="907" w:name="_Toc23440"/>
      <w:bookmarkStart w:id="908" w:name="_Toc12411"/>
      <w:bookmarkStart w:id="909" w:name="_Toc30707"/>
      <w:bookmarkStart w:id="910" w:name="_Toc21692"/>
      <w:bookmarkStart w:id="911" w:name="_Toc25991"/>
      <w:bookmarkStart w:id="912" w:name="_Toc26470"/>
      <w:bookmarkStart w:id="913" w:name="_Toc23059"/>
      <w:bookmarkStart w:id="914" w:name="_Toc26950"/>
      <w:bookmarkStart w:id="915" w:name="_Toc29387"/>
      <w:bookmarkStart w:id="916" w:name="_Toc18149"/>
      <w:bookmarkStart w:id="917" w:name="_Toc20097"/>
      <w:bookmarkStart w:id="918" w:name="_Toc22371"/>
      <w:bookmarkStart w:id="919" w:name="_Toc28889"/>
      <w:bookmarkStart w:id="920" w:name="_Toc21786"/>
      <w:bookmarkStart w:id="921" w:name="_Toc13756"/>
      <w:bookmarkStart w:id="922" w:name="_Toc5718"/>
      <w:bookmarkStart w:id="923" w:name="_Toc14380"/>
      <w:r>
        <w:rPr>
          <w:rFonts w:ascii="楷体_GB2312" w:eastAsia="楷体_GB2312" w:hAnsi="楷体_GB2312" w:cs="楷体_GB2312" w:hint="eastAsia"/>
          <w:sz w:val="32"/>
          <w:szCs w:val="32"/>
        </w:rPr>
        <w:t>（四）发挥市场作用</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加强服务能力建设，引进和培育专业服务管理公司。培育市场新模式，推动合同能源管理、政府与社会资本合作（PPP）等；积极跟进广州、深圳等城市，研究建筑能效交易、碳交易机制。加强市场引导，会同相关部门推进绿色信贷在建筑节能与绿色建筑等领域的应用。优化市场监管机制，采集建筑节能、绿色建筑、绿色建材等相关主体信用信息，根据信用信息情况实施守信激励与失信惩戒。</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924" w:name="_Toc14764"/>
      <w:bookmarkStart w:id="925" w:name="_Toc15342"/>
      <w:bookmarkStart w:id="926" w:name="_Toc20269"/>
      <w:bookmarkStart w:id="927" w:name="_Toc23697"/>
      <w:bookmarkStart w:id="928" w:name="_Toc5823"/>
      <w:bookmarkStart w:id="929" w:name="_Toc4725"/>
      <w:bookmarkStart w:id="930" w:name="_Toc20321"/>
      <w:bookmarkStart w:id="931" w:name="_Toc23095"/>
      <w:bookmarkStart w:id="932" w:name="_Toc18964"/>
      <w:bookmarkStart w:id="933" w:name="_Toc13820"/>
      <w:bookmarkStart w:id="934" w:name="_Toc18698"/>
      <w:bookmarkStart w:id="935" w:name="_Toc930"/>
      <w:r>
        <w:rPr>
          <w:rFonts w:ascii="楷体_GB2312" w:eastAsia="楷体_GB2312" w:hAnsi="楷体_GB2312" w:cs="楷体_GB2312" w:hint="eastAsia"/>
          <w:sz w:val="32"/>
          <w:szCs w:val="32"/>
        </w:rPr>
        <w:t>（五）推进科技创新</w:t>
      </w:r>
      <w:bookmarkEnd w:id="924"/>
      <w:bookmarkEnd w:id="925"/>
      <w:bookmarkEnd w:id="926"/>
      <w:bookmarkEnd w:id="927"/>
      <w:bookmarkEnd w:id="928"/>
      <w:bookmarkEnd w:id="929"/>
      <w:bookmarkEnd w:id="930"/>
      <w:bookmarkEnd w:id="931"/>
      <w:bookmarkEnd w:id="932"/>
      <w:bookmarkEnd w:id="933"/>
      <w:bookmarkEnd w:id="934"/>
      <w:bookmarkEnd w:id="935"/>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构建市场导向的建筑节能与绿色建筑技术创新体系，开</w:t>
      </w:r>
      <w:r>
        <w:rPr>
          <w:rFonts w:ascii="仿宋_GB2312" w:eastAsia="仿宋_GB2312" w:hAnsi="仿宋_GB2312" w:cs="仿宋_GB2312" w:hint="eastAsia"/>
          <w:sz w:val="32"/>
          <w:szCs w:val="32"/>
        </w:rPr>
        <w:lastRenderedPageBreak/>
        <w:t>展重点领域关键环节的科研攻关和项目研发。推动互联网、大数据、人工智能等新技术、先进制造与建筑节能和绿色建筑的深度融合。发挥大型国有企业研发和应用能力，推进企业与科研机构强强联合，建立企业与高等院校的技术创新联合体，研发新技术、新工艺、新材料和新设备。组建东莞市绿色建筑专家委员会，对东莞市绿色建筑实施过程中遇到的问题，进行及时梳理和解决，形成统一的要求，规范绿色建筑的顺利实施。梳理编制满足绿色建筑和建筑节能新要求的绿色产品、企业目录，</w:t>
      </w:r>
      <w:r w:rsidR="005B791B">
        <w:rPr>
          <w:rFonts w:ascii="仿宋_GB2312" w:eastAsia="仿宋_GB2312" w:hAnsi="仿宋_GB2312" w:cs="仿宋_GB2312" w:hint="eastAsia"/>
          <w:sz w:val="32"/>
          <w:szCs w:val="32"/>
        </w:rPr>
        <w:t>梳理</w:t>
      </w:r>
      <w:r>
        <w:rPr>
          <w:rFonts w:ascii="仿宋_GB2312" w:eastAsia="仿宋_GB2312" w:hAnsi="仿宋_GB2312" w:cs="仿宋_GB2312" w:hint="eastAsia"/>
          <w:sz w:val="32"/>
          <w:szCs w:val="32"/>
        </w:rPr>
        <w:t>成熟应用技术，供设计、建设和施工等参考选用。</w:t>
      </w:r>
    </w:p>
    <w:p w:rsidR="00043727" w:rsidRDefault="00EF3381">
      <w:pPr>
        <w:adjustRightInd w:val="0"/>
        <w:snapToGrid w:val="0"/>
        <w:spacing w:line="600" w:lineRule="exact"/>
        <w:ind w:firstLineChars="200" w:firstLine="640"/>
        <w:outlineLvl w:val="1"/>
        <w:rPr>
          <w:rFonts w:ascii="楷体_GB2312" w:eastAsia="楷体_GB2312" w:hAnsi="楷体_GB2312" w:cs="楷体_GB2312"/>
          <w:sz w:val="32"/>
          <w:szCs w:val="32"/>
        </w:rPr>
      </w:pPr>
      <w:bookmarkStart w:id="936" w:name="_Toc10382"/>
      <w:bookmarkStart w:id="937" w:name="_Toc18224"/>
      <w:bookmarkStart w:id="938" w:name="_Toc8202"/>
      <w:bookmarkStart w:id="939" w:name="_Toc6918"/>
      <w:bookmarkStart w:id="940" w:name="_Toc25167"/>
      <w:bookmarkStart w:id="941" w:name="_Toc1831"/>
      <w:bookmarkStart w:id="942" w:name="_Toc32214"/>
      <w:bookmarkStart w:id="943" w:name="_Toc5723"/>
      <w:bookmarkStart w:id="944" w:name="_Toc4376"/>
      <w:bookmarkStart w:id="945" w:name="_Toc12687"/>
      <w:bookmarkStart w:id="946" w:name="_Toc10792"/>
      <w:bookmarkStart w:id="947" w:name="_Toc24736"/>
      <w:bookmarkStart w:id="948" w:name="_Toc32411"/>
      <w:bookmarkStart w:id="949" w:name="_Toc30308"/>
      <w:bookmarkStart w:id="950" w:name="_Toc12576"/>
      <w:bookmarkStart w:id="951" w:name="_Toc24030"/>
      <w:bookmarkStart w:id="952" w:name="_Toc12649"/>
      <w:bookmarkStart w:id="953" w:name="_Toc6909"/>
      <w:bookmarkStart w:id="954" w:name="_Toc27179"/>
      <w:bookmarkStart w:id="955" w:name="_Toc1191"/>
      <w:bookmarkStart w:id="956" w:name="_Toc27382"/>
      <w:bookmarkStart w:id="957" w:name="_Toc4306"/>
      <w:bookmarkStart w:id="958" w:name="_Toc19139"/>
      <w:bookmarkStart w:id="959" w:name="_Toc8267"/>
      <w:bookmarkStart w:id="960" w:name="_Toc22824"/>
      <w:bookmarkStart w:id="961" w:name="_Toc17732"/>
      <w:bookmarkStart w:id="962" w:name="_Toc18077"/>
      <w:bookmarkStart w:id="963" w:name="_Toc16558"/>
      <w:bookmarkStart w:id="964" w:name="_Toc8368"/>
      <w:bookmarkStart w:id="965" w:name="_Toc25301"/>
      <w:bookmarkStart w:id="966" w:name="_Toc1007"/>
      <w:bookmarkStart w:id="967" w:name="_Toc4148"/>
      <w:bookmarkStart w:id="968" w:name="_Toc19491"/>
      <w:bookmarkStart w:id="969" w:name="_Toc16433"/>
      <w:bookmarkStart w:id="970" w:name="_Toc8843"/>
      <w:bookmarkStart w:id="971" w:name="_Toc9612"/>
      <w:bookmarkStart w:id="972" w:name="_Toc17221"/>
      <w:bookmarkStart w:id="973" w:name="_Toc12675"/>
      <w:bookmarkStart w:id="974" w:name="_Toc18441"/>
      <w:bookmarkStart w:id="975" w:name="_Toc3740"/>
      <w:bookmarkStart w:id="976" w:name="_Toc20352"/>
      <w:bookmarkStart w:id="977" w:name="_Toc28016"/>
      <w:bookmarkStart w:id="978" w:name="_Toc4951"/>
      <w:bookmarkStart w:id="979" w:name="_Toc24662"/>
      <w:r>
        <w:rPr>
          <w:rFonts w:ascii="楷体_GB2312" w:eastAsia="楷体_GB2312" w:hAnsi="楷体_GB2312" w:cs="楷体_GB2312" w:hint="eastAsia"/>
          <w:sz w:val="32"/>
          <w:szCs w:val="32"/>
        </w:rPr>
        <w:t>（六）做好宣传培训</w:t>
      </w:r>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p>
    <w:p w:rsidR="00043727" w:rsidRDefault="00EF3381">
      <w:pPr>
        <w:adjustRightInd w:val="0"/>
        <w:snapToGrid w:val="0"/>
        <w:spacing w:line="600" w:lineRule="exact"/>
        <w:ind w:firstLineChars="200" w:firstLine="640"/>
        <w:rPr>
          <w:rFonts w:ascii="仿宋_GB2312" w:eastAsia="仿宋_GB2312" w:hAnsi="仿宋_GB2312" w:cs="仿宋_GB2312"/>
          <w:sz w:val="32"/>
          <w:szCs w:val="32"/>
        </w:rPr>
      </w:pPr>
      <w:bookmarkStart w:id="980" w:name="_Toc5088"/>
      <w:bookmarkStart w:id="981" w:name="_Toc6395"/>
      <w:bookmarkStart w:id="982" w:name="_Toc24526"/>
      <w:bookmarkStart w:id="983" w:name="_Toc2349"/>
      <w:r>
        <w:rPr>
          <w:rFonts w:ascii="仿宋_GB2312" w:eastAsia="仿宋_GB2312" w:hAnsi="仿宋_GB2312" w:cs="仿宋_GB2312" w:hint="eastAsia"/>
          <w:sz w:val="32"/>
          <w:szCs w:val="32"/>
        </w:rPr>
        <w:t>结合“全民节能行动”、“节能宣传月”等活动，利用电视、报刊、网络等媒体，构建立体化宣传体系，广泛宣传建筑节能、绿色建筑等法律法规和政策措施，大力推广先进地区、项目成功经验。积极开展宣传培训、技术推广、信息咨询、会展等活动，营造良好发展范围，倡导绿色生活消费方式。</w:t>
      </w:r>
      <w:bookmarkEnd w:id="980"/>
      <w:bookmarkEnd w:id="981"/>
      <w:bookmarkEnd w:id="982"/>
      <w:bookmarkEnd w:id="983"/>
      <w:r>
        <w:rPr>
          <w:rFonts w:ascii="仿宋_GB2312" w:eastAsia="仿宋_GB2312" w:hAnsi="仿宋_GB2312" w:cs="仿宋_GB2312" w:hint="eastAsia"/>
          <w:sz w:val="32"/>
          <w:szCs w:val="32"/>
        </w:rPr>
        <w:t>积极推进绿色建筑示范项目建设，加强示范项目宣传推广，让居民感受绿色建筑技术的效果，身临其境的体会绿色建筑的魅力，倡导绿色生活消费方式。依托高等院校、职业学校、科研院所、行业协会开展针对设计、施工、运营管理等人员的专业培训，提升管理人员及从业人员综合素质。</w:t>
      </w:r>
    </w:p>
    <w:p w:rsidR="00043727" w:rsidRDefault="00043727">
      <w:pPr>
        <w:adjustRightInd w:val="0"/>
        <w:snapToGrid w:val="0"/>
        <w:spacing w:line="600" w:lineRule="exact"/>
        <w:ind w:firstLineChars="200" w:firstLine="640"/>
        <w:rPr>
          <w:rFonts w:ascii="仿宋_GB2312" w:eastAsia="仿宋_GB2312" w:hAnsi="仿宋_GB2312" w:cs="仿宋_GB2312"/>
          <w:sz w:val="32"/>
          <w:szCs w:val="32"/>
        </w:rPr>
        <w:sectPr w:rsidR="00043727">
          <w:headerReference w:type="default" r:id="rId15"/>
          <w:footerReference w:type="default" r:id="rId16"/>
          <w:pgSz w:w="11906" w:h="16838"/>
          <w:pgMar w:top="1440" w:right="1800" w:bottom="1440" w:left="1800" w:header="851" w:footer="992" w:gutter="0"/>
          <w:cols w:space="720"/>
          <w:docGrid w:type="lines" w:linePitch="312"/>
        </w:sectPr>
      </w:pPr>
    </w:p>
    <w:p w:rsidR="00043727" w:rsidRDefault="00EF3381">
      <w:pPr>
        <w:adjustRightInd w:val="0"/>
        <w:snapToGrid w:val="0"/>
        <w:spacing w:line="600" w:lineRule="exact"/>
        <w:ind w:firstLineChars="200" w:firstLine="640"/>
        <w:outlineLvl w:val="0"/>
        <w:rPr>
          <w:rFonts w:ascii="黑体" w:eastAsia="黑体" w:hAnsi="黑体" w:cs="黑体"/>
          <w:sz w:val="32"/>
          <w:szCs w:val="32"/>
        </w:rPr>
      </w:pPr>
      <w:bookmarkStart w:id="984" w:name="_Toc31319"/>
      <w:r>
        <w:rPr>
          <w:rFonts w:ascii="黑体" w:eastAsia="黑体" w:hAnsi="黑体" w:cs="黑体" w:hint="eastAsia"/>
          <w:sz w:val="32"/>
          <w:szCs w:val="32"/>
        </w:rPr>
        <w:lastRenderedPageBreak/>
        <w:t>附件1 主要工作列表</w:t>
      </w:r>
      <w:bookmarkEnd w:id="984"/>
    </w:p>
    <w:tbl>
      <w:tblPr>
        <w:tblW w:w="14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1"/>
        <w:gridCol w:w="8177"/>
        <w:gridCol w:w="1200"/>
        <w:gridCol w:w="3495"/>
      </w:tblGrid>
      <w:tr w:rsidR="00043727">
        <w:trPr>
          <w:trHeight w:val="527"/>
          <w:tblHeader/>
        </w:trPr>
        <w:tc>
          <w:tcPr>
            <w:tcW w:w="1291" w:type="dxa"/>
            <w:shd w:val="clear" w:color="auto" w:fill="D8D8D8" w:themeFill="background1" w:themeFillShade="D8"/>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分项</w:t>
            </w:r>
          </w:p>
        </w:tc>
        <w:tc>
          <w:tcPr>
            <w:tcW w:w="8177" w:type="dxa"/>
            <w:shd w:val="clear" w:color="auto" w:fill="D8D8D8" w:themeFill="background1" w:themeFillShade="D8"/>
            <w:vAlign w:val="center"/>
          </w:tcPr>
          <w:p w:rsidR="00043727" w:rsidRDefault="00EF3381">
            <w:pPr>
              <w:spacing w:line="440" w:lineRule="exact"/>
              <w:ind w:firstLineChars="200" w:firstLine="420"/>
              <w:jc w:val="center"/>
              <w:rPr>
                <w:rFonts w:ascii="仿宋" w:eastAsia="仿宋" w:hAnsi="仿宋" w:cs="仿宋"/>
                <w:szCs w:val="21"/>
              </w:rPr>
            </w:pPr>
            <w:r>
              <w:rPr>
                <w:rFonts w:ascii="仿宋" w:eastAsia="仿宋" w:hAnsi="仿宋" w:cs="仿宋" w:hint="eastAsia"/>
                <w:szCs w:val="21"/>
              </w:rPr>
              <w:t>主要工作</w:t>
            </w:r>
          </w:p>
        </w:tc>
        <w:tc>
          <w:tcPr>
            <w:tcW w:w="1200" w:type="dxa"/>
            <w:shd w:val="clear" w:color="auto" w:fill="D8D8D8" w:themeFill="background1" w:themeFillShade="D8"/>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时间</w:t>
            </w:r>
          </w:p>
        </w:tc>
        <w:tc>
          <w:tcPr>
            <w:tcW w:w="3495" w:type="dxa"/>
            <w:shd w:val="clear" w:color="auto" w:fill="D8D8D8" w:themeFill="background1" w:themeFillShade="D8"/>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参与部门</w:t>
            </w:r>
          </w:p>
        </w:tc>
      </w:tr>
      <w:tr w:rsidR="00043727">
        <w:trPr>
          <w:trHeight w:val="525"/>
        </w:trPr>
        <w:tc>
          <w:tcPr>
            <w:tcW w:w="1291" w:type="dxa"/>
            <w:vMerge w:val="restart"/>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建筑节能水平稳步提高</w:t>
            </w: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城镇新建民用建筑按照最新的广东省节能设计标准进行审查备案，城镇新建居住建筑能效水平提升不低于30%，城镇新建公共建筑能效水平提升不低于20%。</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2025年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探索利用第三方技术服务机构，对建筑高度超过150米或单体建筑地上建筑面积大于20万平方米的公共建筑项目开展建筑节能设计方案专项评估。</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开展我市建筑领域碳排放基础数据搜集分析，结合广东省下达3060双碳行动目标，建立碳排放达峰策略。</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rsidP="00D748D7">
            <w:pPr>
              <w:spacing w:line="440" w:lineRule="exact"/>
              <w:jc w:val="left"/>
              <w:rPr>
                <w:rFonts w:ascii="仿宋" w:eastAsia="仿宋" w:hAnsi="仿宋" w:cs="仿宋"/>
                <w:szCs w:val="21"/>
              </w:rPr>
            </w:pPr>
            <w:r>
              <w:rPr>
                <w:rFonts w:ascii="仿宋" w:eastAsia="仿宋" w:hAnsi="仿宋" w:cs="仿宋" w:hint="eastAsia"/>
                <w:szCs w:val="21"/>
              </w:rPr>
              <w:t>东莞市住房和城乡建设局、东莞市发展和改革局、广东电网公司东莞供电局</w:t>
            </w:r>
            <w:r w:rsidR="00D748D7">
              <w:rPr>
                <w:rFonts w:ascii="仿宋" w:eastAsia="仿宋" w:hAnsi="仿宋" w:cs="仿宋" w:hint="eastAsia"/>
                <w:szCs w:val="21"/>
              </w:rPr>
              <w:t>等部门</w:t>
            </w:r>
          </w:p>
        </w:tc>
      </w:tr>
      <w:tr w:rsidR="00043727">
        <w:trPr>
          <w:trHeight w:val="372"/>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rPr>
              <w:t>与科研机构、高校等单位合作，开展有东莞特色的超低能耗建筑技术路线、指标体系研究，总结提炼规划、设计、施工、运行维护等环节共性关键技术，</w:t>
            </w:r>
            <w:r>
              <w:rPr>
                <w:rFonts w:ascii="仿宋" w:eastAsia="仿宋" w:hAnsi="仿宋" w:cs="仿宋" w:hint="eastAsia"/>
                <w:szCs w:val="21"/>
              </w:rPr>
              <w:t>力争建成2栋超低能耗、近零能耗建筑示范项目。</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2025年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rPr>
            </w:pPr>
            <w:r>
              <w:rPr>
                <w:rFonts w:ascii="仿宋" w:eastAsia="仿宋" w:hAnsi="仿宋" w:cs="仿宋" w:hint="eastAsia"/>
                <w:szCs w:val="21"/>
              </w:rPr>
              <w:t>优先支持保障性住房、政府投资的公益性建筑和大型公共建筑使用可再生能源，推广工业厂房分布式光伏。“十四五”期间，我市新增太阳能光热集热面积20万平方米,新增太阳能光电建筑应用装机容量100兆瓦。</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2025年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东莞市发展和改革局、东莞市财政局、东莞市住房和城乡建设局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结合海绵城市建设、老旧小区改造等工作，鼓励老旧小区按照绿色建筑评价标准进行改造。重点在东城街道、南城街道、大朗镇、塘厦镇、寮步镇、厚街镇等区域推动既有居住建筑节能绿色化改造。“十四五”期间，我市既有建筑绿色化改造面积新增200</w:t>
            </w:r>
            <w:r>
              <w:rPr>
                <w:rFonts w:ascii="仿宋" w:eastAsia="仿宋" w:hAnsi="仿宋" w:cs="仿宋" w:hint="eastAsia"/>
                <w:szCs w:val="21"/>
              </w:rPr>
              <w:lastRenderedPageBreak/>
              <w:t>万平方米。</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lastRenderedPageBreak/>
              <w:t>2024年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东莞市住房和城乡建设局、东莞市财政局、东莞市自然资源局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持续做好公共建筑能耗统计、能源审计、能耗监测等工作及能耗信息公示及披露，对评估不合格的国家机关办公建筑、大型公共建筑和以政府投资为主的其他公共建筑优先纳入改造计划。</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rsidP="00D748D7">
            <w:pPr>
              <w:spacing w:line="440" w:lineRule="exact"/>
              <w:jc w:val="left"/>
              <w:rPr>
                <w:rFonts w:ascii="仿宋" w:eastAsia="仿宋" w:hAnsi="仿宋" w:cs="仿宋"/>
                <w:szCs w:val="21"/>
              </w:rPr>
            </w:pPr>
            <w:r>
              <w:rPr>
                <w:rFonts w:ascii="仿宋" w:eastAsia="仿宋" w:hAnsi="仿宋" w:cs="仿宋" w:hint="eastAsia"/>
                <w:szCs w:val="21"/>
              </w:rPr>
              <w:t>东莞市住房和城乡建设局、广东电网公司东莞供电局</w:t>
            </w:r>
            <w:r w:rsidR="00D748D7">
              <w:rPr>
                <w:rFonts w:ascii="仿宋" w:eastAsia="仿宋" w:hAnsi="仿宋" w:cs="仿宋" w:hint="eastAsia"/>
                <w:szCs w:val="21"/>
              </w:rPr>
              <w:t>等部门</w:t>
            </w:r>
          </w:p>
        </w:tc>
      </w:tr>
      <w:tr w:rsidR="00043727">
        <w:trPr>
          <w:trHeight w:val="525"/>
        </w:trPr>
        <w:tc>
          <w:tcPr>
            <w:tcW w:w="1291" w:type="dxa"/>
            <w:vMerge w:val="restart"/>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绿色建筑发展迅速</w:t>
            </w: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编制绿色建筑发展专项规划。</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东莞市住房和城乡建设局、东莞市自然资源局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城镇新建民用建筑全面按照绿色建筑标准进行建设，严格执行《广东省绿色建筑设计规范》，编制绿色建筑、建筑节能施工图审查要点，加强绿色建筑施工图审查。</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2021年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单体建筑面积大于2万平方米的大型公共建筑和国家机关办公建筑、国有资金参与投资建设的其他公共建筑、计容建筑面积超过5万平方米的住宅（商住）建筑工程项目应当按照一星级及以上绿色建筑标准进行建设，面积比例不低于45%。</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东莞市住房和城乡建设局、东莞市城建工程管理局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支持松山湖、滨海湾新区、水乡新城、南城国际中央商务区等重点区域发展建设高星级绿色建筑；</w:t>
            </w:r>
            <w:bookmarkStart w:id="985" w:name="_GoBack"/>
            <w:bookmarkEnd w:id="985"/>
            <w:r>
              <w:rPr>
                <w:rFonts w:ascii="仿宋" w:eastAsia="仿宋" w:hAnsi="仿宋" w:cs="仿宋" w:hint="eastAsia"/>
                <w:szCs w:val="21"/>
              </w:rPr>
              <w:t>超高层建筑应按三星级绿色建筑标准建设。</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制定绿色建筑验收管理办法，实施绿色建筑验收。</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2022年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restart"/>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新型墙材和散装水泥发</w:t>
            </w:r>
            <w:r>
              <w:rPr>
                <w:rFonts w:ascii="仿宋" w:eastAsia="仿宋" w:hAnsi="仿宋" w:cs="仿宋" w:hint="eastAsia"/>
                <w:szCs w:val="21"/>
              </w:rPr>
              <w:lastRenderedPageBreak/>
              <w:t>展广泛应用</w:t>
            </w: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lastRenderedPageBreak/>
              <w:t>开展绿色建材应用试点示范，逐步建立绿色建材发展长效机制。</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2025年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在绿色建筑、装配式建筑等政府投资工程中率先采用新型绿色建材，提升新建建筑</w:t>
            </w:r>
            <w:r>
              <w:rPr>
                <w:rFonts w:ascii="仿宋" w:eastAsia="仿宋" w:hAnsi="仿宋" w:cs="仿宋" w:hint="eastAsia"/>
                <w:szCs w:val="21"/>
              </w:rPr>
              <w:lastRenderedPageBreak/>
              <w:t>中绿色建材应用比例。</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lastRenderedPageBreak/>
              <w:t>2025年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东莞市住房和城乡建设局、东莞市城</w:t>
            </w:r>
            <w:r>
              <w:rPr>
                <w:rFonts w:ascii="仿宋" w:eastAsia="仿宋" w:hAnsi="仿宋" w:cs="仿宋" w:hint="eastAsia"/>
                <w:szCs w:val="21"/>
              </w:rPr>
              <w:lastRenderedPageBreak/>
              <w:t>建工程管理局</w:t>
            </w:r>
          </w:p>
        </w:tc>
      </w:tr>
      <w:tr w:rsidR="00043727">
        <w:trPr>
          <w:trHeight w:val="525"/>
        </w:trPr>
        <w:tc>
          <w:tcPr>
            <w:tcW w:w="1291" w:type="dxa"/>
            <w:vMerge/>
            <w:vAlign w:val="center"/>
          </w:tcPr>
          <w:p w:rsidR="00043727" w:rsidRDefault="00043727">
            <w:pPr>
              <w:spacing w:line="440" w:lineRule="exact"/>
              <w:jc w:val="left"/>
              <w:rPr>
                <w:rFonts w:ascii="仿宋" w:eastAsia="仿宋" w:hAnsi="仿宋" w:cs="仿宋"/>
                <w:szCs w:val="21"/>
              </w:rPr>
            </w:pP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城镇新建建筑项目全面实行“禁实限粘”。</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2021年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w:t>
            </w:r>
          </w:p>
        </w:tc>
      </w:tr>
      <w:tr w:rsidR="00043727">
        <w:trPr>
          <w:trHeight w:val="120"/>
        </w:trPr>
        <w:tc>
          <w:tcPr>
            <w:tcW w:w="1291"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装配式建筑持续发展</w:t>
            </w:r>
          </w:p>
        </w:tc>
        <w:tc>
          <w:tcPr>
            <w:tcW w:w="8177" w:type="dxa"/>
            <w:vAlign w:val="center"/>
          </w:tcPr>
          <w:p w:rsidR="00043727" w:rsidRDefault="00EF3381">
            <w:pPr>
              <w:spacing w:line="440" w:lineRule="exact"/>
              <w:ind w:firstLineChars="200" w:firstLine="420"/>
              <w:jc w:val="left"/>
              <w:rPr>
                <w:rFonts w:ascii="仿宋" w:eastAsia="仿宋" w:hAnsi="仿宋" w:cs="仿宋"/>
                <w:szCs w:val="21"/>
              </w:rPr>
            </w:pPr>
            <w:r>
              <w:rPr>
                <w:rFonts w:ascii="仿宋" w:eastAsia="仿宋" w:hAnsi="仿宋" w:cs="仿宋" w:hint="eastAsia"/>
                <w:szCs w:val="21"/>
              </w:rPr>
              <w:t>全市装配式建筑面积占新建建筑面积比例达到35%，政府投资工程带头发展装配式建筑，保障性住房、大型公共建筑项目原则上应实施装配式建筑，“十四五”期间，政府投资工程装配式建筑比例达到70%。</w:t>
            </w:r>
          </w:p>
        </w:tc>
        <w:tc>
          <w:tcPr>
            <w:tcW w:w="1200" w:type="dxa"/>
            <w:vAlign w:val="center"/>
          </w:tcPr>
          <w:p w:rsidR="00043727" w:rsidRDefault="00EF3381">
            <w:pPr>
              <w:spacing w:line="440" w:lineRule="exact"/>
              <w:jc w:val="center"/>
              <w:rPr>
                <w:rFonts w:ascii="仿宋" w:eastAsia="仿宋" w:hAnsi="仿宋" w:cs="仿宋"/>
                <w:szCs w:val="21"/>
              </w:rPr>
            </w:pPr>
            <w:r>
              <w:rPr>
                <w:rFonts w:ascii="仿宋" w:eastAsia="仿宋" w:hAnsi="仿宋" w:cs="仿宋" w:hint="eastAsia"/>
                <w:szCs w:val="21"/>
              </w:rPr>
              <w:t>2025年</w:t>
            </w:r>
          </w:p>
        </w:tc>
        <w:tc>
          <w:tcPr>
            <w:tcW w:w="3495" w:type="dxa"/>
            <w:vAlign w:val="center"/>
          </w:tcPr>
          <w:p w:rsidR="00043727" w:rsidRDefault="00EF3381">
            <w:pPr>
              <w:spacing w:line="440" w:lineRule="exact"/>
              <w:jc w:val="left"/>
              <w:rPr>
                <w:rFonts w:ascii="仿宋" w:eastAsia="仿宋" w:hAnsi="仿宋" w:cs="仿宋"/>
                <w:szCs w:val="21"/>
              </w:rPr>
            </w:pPr>
            <w:r>
              <w:rPr>
                <w:rFonts w:ascii="仿宋" w:eastAsia="仿宋" w:hAnsi="仿宋" w:cs="仿宋" w:hint="eastAsia"/>
                <w:szCs w:val="21"/>
              </w:rPr>
              <w:t>东莞市住房和城乡建设局、东莞市城建工程管理局、东莞市财政局</w:t>
            </w:r>
          </w:p>
        </w:tc>
      </w:tr>
    </w:tbl>
    <w:p w:rsidR="00043727" w:rsidRDefault="00EF3381">
      <w:pPr>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043727" w:rsidRDefault="00EF3381">
      <w:pPr>
        <w:adjustRightInd w:val="0"/>
        <w:snapToGrid w:val="0"/>
        <w:spacing w:line="600" w:lineRule="exact"/>
        <w:ind w:firstLineChars="200" w:firstLine="640"/>
        <w:outlineLvl w:val="0"/>
        <w:rPr>
          <w:rFonts w:ascii="黑体" w:eastAsia="黑体" w:hAnsi="黑体" w:cs="黑体"/>
          <w:sz w:val="32"/>
          <w:szCs w:val="32"/>
        </w:rPr>
      </w:pPr>
      <w:bookmarkStart w:id="986" w:name="_Toc27446"/>
      <w:bookmarkStart w:id="987" w:name="_Toc1387"/>
      <w:r>
        <w:rPr>
          <w:rFonts w:ascii="黑体" w:eastAsia="黑体" w:hAnsi="黑体" w:cs="黑体" w:hint="eastAsia"/>
          <w:sz w:val="32"/>
          <w:szCs w:val="32"/>
        </w:rPr>
        <w:lastRenderedPageBreak/>
        <w:t>附件2 各镇街目标分解表</w:t>
      </w:r>
      <w:bookmarkEnd w:id="986"/>
      <w:bookmarkEnd w:id="987"/>
      <w:r>
        <w:rPr>
          <w:rFonts w:ascii="黑体" w:eastAsia="黑体" w:hAnsi="黑体" w:cs="黑体" w:hint="eastAsia"/>
          <w:kern w:val="0"/>
          <w:sz w:val="24"/>
          <w:szCs w:val="24"/>
          <w:vertAlign w:val="superscript"/>
        </w:rPr>
        <w:t>注1</w:t>
      </w:r>
    </w:p>
    <w:tbl>
      <w:tblPr>
        <w:tblW w:w="13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91"/>
        <w:gridCol w:w="931"/>
        <w:gridCol w:w="1306"/>
        <w:gridCol w:w="1306"/>
        <w:gridCol w:w="1761"/>
        <w:gridCol w:w="1947"/>
        <w:gridCol w:w="1926"/>
        <w:gridCol w:w="1719"/>
        <w:gridCol w:w="1616"/>
      </w:tblGrid>
      <w:tr w:rsidR="00043727">
        <w:trPr>
          <w:trHeight w:val="831"/>
          <w:tblHeader/>
          <w:jc w:val="center"/>
        </w:trPr>
        <w:tc>
          <w:tcPr>
            <w:tcW w:w="491"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序号</w:t>
            </w:r>
          </w:p>
        </w:tc>
        <w:tc>
          <w:tcPr>
            <w:tcW w:w="931"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区</w:t>
            </w:r>
          </w:p>
        </w:tc>
        <w:tc>
          <w:tcPr>
            <w:tcW w:w="1306"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 w:val="24"/>
                <w:szCs w:val="24"/>
              </w:rPr>
            </w:pPr>
            <w:r>
              <w:rPr>
                <w:rFonts w:ascii="仿宋" w:eastAsia="仿宋" w:hAnsi="仿宋" w:cs="仿宋" w:hint="eastAsia"/>
                <w:kern w:val="0"/>
                <w:sz w:val="24"/>
                <w:szCs w:val="24"/>
              </w:rPr>
              <w:t>镇街</w:t>
            </w:r>
          </w:p>
        </w:tc>
        <w:tc>
          <w:tcPr>
            <w:tcW w:w="1306"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 w:val="24"/>
                <w:szCs w:val="24"/>
                <w:vertAlign w:val="superscript"/>
              </w:rPr>
            </w:pPr>
            <w:r>
              <w:rPr>
                <w:rFonts w:ascii="仿宋" w:eastAsia="仿宋" w:hAnsi="仿宋" w:cs="仿宋" w:hint="eastAsia"/>
                <w:kern w:val="0"/>
                <w:sz w:val="24"/>
                <w:szCs w:val="24"/>
              </w:rPr>
              <w:t>星级绿色建筑占新建建筑比例</w:t>
            </w:r>
          </w:p>
        </w:tc>
        <w:tc>
          <w:tcPr>
            <w:tcW w:w="3708" w:type="dxa"/>
            <w:gridSpan w:val="2"/>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 w:val="24"/>
                <w:szCs w:val="24"/>
              </w:rPr>
            </w:pPr>
            <w:r>
              <w:rPr>
                <w:rFonts w:ascii="仿宋" w:eastAsia="仿宋" w:hAnsi="仿宋" w:cs="仿宋" w:hint="eastAsia"/>
                <w:kern w:val="0"/>
                <w:sz w:val="24"/>
                <w:szCs w:val="24"/>
              </w:rPr>
              <w:t>可再生能源利用量</w:t>
            </w:r>
          </w:p>
        </w:tc>
        <w:tc>
          <w:tcPr>
            <w:tcW w:w="1926"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既有建筑节能改造量（万㎡）</w:t>
            </w:r>
          </w:p>
        </w:tc>
        <w:tc>
          <w:tcPr>
            <w:tcW w:w="1719"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超低能耗建筑（项）</w:t>
            </w:r>
          </w:p>
        </w:tc>
        <w:tc>
          <w:tcPr>
            <w:tcW w:w="1616" w:type="dxa"/>
            <w:vMerge w:val="restart"/>
            <w:shd w:val="clear" w:color="auto" w:fill="D8D8D8" w:themeFill="background1" w:themeFillShade="D8"/>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 w:val="24"/>
                <w:szCs w:val="24"/>
              </w:rPr>
            </w:pPr>
            <w:r>
              <w:rPr>
                <w:rFonts w:ascii="仿宋" w:eastAsia="仿宋" w:hAnsi="仿宋" w:cs="仿宋" w:hint="eastAsia"/>
                <w:kern w:val="0"/>
                <w:sz w:val="24"/>
                <w:szCs w:val="24"/>
              </w:rPr>
              <w:t>装配式建筑比例</w:t>
            </w:r>
          </w:p>
        </w:tc>
      </w:tr>
      <w:tr w:rsidR="00043727">
        <w:trPr>
          <w:trHeight w:val="634"/>
          <w:tblHeader/>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 w:val="24"/>
                <w:szCs w:val="24"/>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 w:val="24"/>
                <w:szCs w:val="24"/>
              </w:rPr>
            </w:pPr>
          </w:p>
        </w:tc>
        <w:tc>
          <w:tcPr>
            <w:tcW w:w="130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 w:val="24"/>
                <w:szCs w:val="24"/>
              </w:rPr>
            </w:pPr>
          </w:p>
        </w:tc>
        <w:tc>
          <w:tcPr>
            <w:tcW w:w="130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 w:val="24"/>
                <w:szCs w:val="24"/>
              </w:rPr>
            </w:pPr>
          </w:p>
        </w:tc>
        <w:tc>
          <w:tcPr>
            <w:tcW w:w="1761" w:type="dxa"/>
            <w:shd w:val="clear" w:color="auto" w:fill="D8D8D8" w:themeFill="background1" w:themeFillShade="D8"/>
            <w:noWrap/>
            <w:tcMar>
              <w:top w:w="15" w:type="dxa"/>
              <w:left w:w="15" w:type="dxa"/>
              <w:right w:w="15" w:type="dxa"/>
            </w:tcMar>
            <w:vAlign w:val="center"/>
          </w:tcPr>
          <w:p w:rsidR="00043727" w:rsidRDefault="00EF3381">
            <w:pPr>
              <w:jc w:val="center"/>
              <w:rPr>
                <w:rFonts w:ascii="仿宋" w:eastAsia="仿宋" w:hAnsi="仿宋" w:cs="仿宋"/>
                <w:sz w:val="24"/>
                <w:szCs w:val="24"/>
              </w:rPr>
            </w:pPr>
            <w:r>
              <w:rPr>
                <w:rFonts w:ascii="仿宋" w:eastAsia="仿宋" w:hAnsi="仿宋" w:cs="仿宋" w:hint="eastAsia"/>
                <w:sz w:val="24"/>
                <w:szCs w:val="24"/>
              </w:rPr>
              <w:t>光电建筑装机容量（兆瓦）</w:t>
            </w:r>
          </w:p>
        </w:tc>
        <w:tc>
          <w:tcPr>
            <w:tcW w:w="1947" w:type="dxa"/>
            <w:shd w:val="clear" w:color="auto" w:fill="D8D8D8" w:themeFill="background1" w:themeFillShade="D8"/>
            <w:noWrap/>
            <w:tcMar>
              <w:top w:w="15" w:type="dxa"/>
              <w:left w:w="15" w:type="dxa"/>
              <w:right w:w="15" w:type="dxa"/>
            </w:tcMar>
            <w:vAlign w:val="center"/>
          </w:tcPr>
          <w:p w:rsidR="00043727" w:rsidRDefault="00EF3381">
            <w:pPr>
              <w:jc w:val="center"/>
              <w:rPr>
                <w:rFonts w:ascii="仿宋" w:eastAsia="仿宋" w:hAnsi="仿宋" w:cs="仿宋"/>
                <w:sz w:val="24"/>
                <w:szCs w:val="24"/>
              </w:rPr>
            </w:pPr>
            <w:r>
              <w:rPr>
                <w:rFonts w:ascii="仿宋" w:eastAsia="仿宋" w:hAnsi="仿宋" w:cs="仿宋" w:hint="eastAsia"/>
                <w:kern w:val="0"/>
                <w:sz w:val="24"/>
                <w:szCs w:val="24"/>
              </w:rPr>
              <w:t>太阳能光热集热面积（万㎡）</w:t>
            </w:r>
          </w:p>
        </w:tc>
        <w:tc>
          <w:tcPr>
            <w:tcW w:w="192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c>
          <w:tcPr>
            <w:tcW w:w="1719"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1</w:t>
            </w:r>
          </w:p>
        </w:tc>
        <w:tc>
          <w:tcPr>
            <w:tcW w:w="93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城区片区</w:t>
            </w: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莞城街道</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val="restart"/>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东城街道</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8.70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万江街道</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南城街道</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4.42</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8.70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高埗镇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石碣镇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2</w:t>
            </w:r>
          </w:p>
        </w:tc>
        <w:tc>
          <w:tcPr>
            <w:tcW w:w="93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松山湖片区</w:t>
            </w: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松山湖</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70%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val="restart"/>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茶山镇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石龙镇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石排镇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寮步镇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tcPr>
          <w:p w:rsidR="00043727" w:rsidRDefault="00EF3381">
            <w:pPr>
              <w:jc w:val="center"/>
              <w:rPr>
                <w:rFonts w:ascii="仿宋" w:eastAsia="仿宋" w:hAnsi="仿宋" w:cs="仿宋"/>
                <w:szCs w:val="21"/>
              </w:rPr>
            </w:pPr>
            <w:r>
              <w:rPr>
                <w:rFonts w:ascii="仿宋" w:eastAsia="仿宋" w:hAnsi="仿宋" w:cs="仿宋" w:hint="eastAsia"/>
                <w:szCs w:val="21"/>
              </w:rPr>
              <w:t>8.70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大岭山镇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大朗镇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8.70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vertAlign w:val="superscript"/>
              </w:rPr>
            </w:pPr>
            <w:r>
              <w:rPr>
                <w:rFonts w:ascii="仿宋" w:eastAsia="仿宋" w:hAnsi="仿宋" w:cs="仿宋" w:hint="eastAsia"/>
                <w:kern w:val="0"/>
                <w:szCs w:val="21"/>
              </w:rPr>
              <w:t>横沥镇</w:t>
            </w:r>
            <w:r>
              <w:rPr>
                <w:rFonts w:ascii="仿宋" w:eastAsia="仿宋" w:hAnsi="仿宋" w:cs="仿宋" w:hint="eastAsia"/>
                <w:kern w:val="0"/>
                <w:szCs w:val="21"/>
                <w:vertAlign w:val="superscript"/>
              </w:rPr>
              <w:t>注2</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东坑镇</w:t>
            </w:r>
            <w:r>
              <w:rPr>
                <w:rFonts w:ascii="仿宋" w:eastAsia="仿宋" w:hAnsi="仿宋" w:cs="仿宋" w:hint="eastAsia"/>
                <w:kern w:val="0"/>
                <w:szCs w:val="21"/>
                <w:vertAlign w:val="superscript"/>
              </w:rPr>
              <w:t>注2</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企石镇</w:t>
            </w:r>
            <w:r>
              <w:rPr>
                <w:rFonts w:ascii="仿宋" w:eastAsia="仿宋" w:hAnsi="仿宋" w:cs="仿宋" w:hint="eastAsia"/>
                <w:kern w:val="0"/>
                <w:szCs w:val="21"/>
                <w:vertAlign w:val="superscript"/>
              </w:rPr>
              <w:t>注2</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3</w:t>
            </w:r>
          </w:p>
        </w:tc>
        <w:tc>
          <w:tcPr>
            <w:tcW w:w="93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滨海片区</w:t>
            </w: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虎门镇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val="restart"/>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长安镇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沙田镇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4.42</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厚街镇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8.70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4</w:t>
            </w:r>
          </w:p>
        </w:tc>
        <w:tc>
          <w:tcPr>
            <w:tcW w:w="93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水乡新城片区</w:t>
            </w: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中堂镇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val="restart"/>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30%</w:t>
            </w: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望牛墩镇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麻涌镇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4.42</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道滘镇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洪梅镇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1.77</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0.33</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lastRenderedPageBreak/>
              <w:t>5</w:t>
            </w:r>
          </w:p>
        </w:tc>
        <w:tc>
          <w:tcPr>
            <w:tcW w:w="93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东部产业园片区</w:t>
            </w: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黄江镇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val="restart"/>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30%</w:t>
            </w: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谢岗镇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0.33</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3.48</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常平镇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桥头镇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0.49</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6</w:t>
            </w:r>
          </w:p>
        </w:tc>
        <w:tc>
          <w:tcPr>
            <w:tcW w:w="931" w:type="dxa"/>
            <w:vMerge w:val="restart"/>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东南临深片区</w:t>
            </w: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清溪镇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3.54</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5.22</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val="restart"/>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w:t>
            </w: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樟木头镇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2.65</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0.33</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凤岗镇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55%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4.42</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0.66</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6.96</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szCs w:val="21"/>
              </w:rPr>
            </w:pPr>
          </w:p>
        </w:tc>
        <w:tc>
          <w:tcPr>
            <w:tcW w:w="931" w:type="dxa"/>
            <w:vMerge/>
            <w:shd w:val="clear" w:color="auto" w:fill="auto"/>
            <w:noWrap/>
            <w:tcMar>
              <w:top w:w="15" w:type="dxa"/>
              <w:left w:w="15" w:type="dxa"/>
              <w:right w:w="15" w:type="dxa"/>
            </w:tcMar>
            <w:vAlign w:val="center"/>
          </w:tcPr>
          <w:p w:rsidR="00043727" w:rsidRDefault="00043727">
            <w:pPr>
              <w:widowControl/>
              <w:jc w:val="center"/>
              <w:textAlignment w:val="center"/>
              <w:rPr>
                <w:rFonts w:ascii="仿宋" w:eastAsia="仿宋" w:hAnsi="仿宋" w:cs="仿宋"/>
                <w:kern w:val="0"/>
                <w:szCs w:val="21"/>
              </w:rPr>
            </w:pPr>
          </w:p>
        </w:tc>
        <w:tc>
          <w:tcPr>
            <w:tcW w:w="1306"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kern w:val="0"/>
                <w:szCs w:val="21"/>
              </w:rPr>
              <w:t>塘厦镇</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4.42</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8.70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616" w:type="dxa"/>
            <w:vMerge/>
            <w:shd w:val="clear" w:color="auto" w:fill="auto"/>
            <w:noWrap/>
            <w:tcMar>
              <w:top w:w="15" w:type="dxa"/>
              <w:left w:w="15" w:type="dxa"/>
              <w:right w:w="15" w:type="dxa"/>
            </w:tcMar>
            <w:vAlign w:val="center"/>
          </w:tcPr>
          <w:p w:rsidR="00043727" w:rsidRDefault="00043727">
            <w:pPr>
              <w:jc w:val="center"/>
              <w:rPr>
                <w:rFonts w:ascii="仿宋" w:eastAsia="仿宋" w:hAnsi="仿宋" w:cs="仿宋"/>
                <w:szCs w:val="21"/>
              </w:rPr>
            </w:pPr>
          </w:p>
        </w:tc>
      </w:tr>
      <w:tr w:rsidR="00043727">
        <w:trPr>
          <w:trHeight w:val="486"/>
          <w:jc w:val="center"/>
        </w:trPr>
        <w:tc>
          <w:tcPr>
            <w:tcW w:w="491" w:type="dxa"/>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szCs w:val="21"/>
              </w:rPr>
            </w:pPr>
            <w:r>
              <w:rPr>
                <w:rFonts w:ascii="仿宋" w:eastAsia="仿宋" w:hAnsi="仿宋" w:cs="仿宋" w:hint="eastAsia"/>
                <w:szCs w:val="21"/>
              </w:rPr>
              <w:t>7</w:t>
            </w:r>
          </w:p>
        </w:tc>
        <w:tc>
          <w:tcPr>
            <w:tcW w:w="2237" w:type="dxa"/>
            <w:gridSpan w:val="2"/>
            <w:shd w:val="clear" w:color="auto" w:fill="auto"/>
            <w:noWrap/>
            <w:tcMar>
              <w:top w:w="15" w:type="dxa"/>
              <w:left w:w="15" w:type="dxa"/>
              <w:right w:w="15" w:type="dxa"/>
            </w:tcMar>
            <w:vAlign w:val="center"/>
          </w:tcPr>
          <w:p w:rsidR="00043727" w:rsidRDefault="00EF3381">
            <w:pPr>
              <w:widowControl/>
              <w:jc w:val="center"/>
              <w:textAlignment w:val="center"/>
              <w:rPr>
                <w:rFonts w:ascii="仿宋" w:eastAsia="仿宋" w:hAnsi="仿宋" w:cs="仿宋"/>
                <w:kern w:val="0"/>
                <w:szCs w:val="21"/>
              </w:rPr>
            </w:pPr>
            <w:r>
              <w:rPr>
                <w:rFonts w:ascii="仿宋" w:eastAsia="仿宋" w:hAnsi="仿宋" w:cs="仿宋" w:hint="eastAsia"/>
                <w:kern w:val="0"/>
                <w:szCs w:val="21"/>
              </w:rPr>
              <w:t>滨海湾新区</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70%</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4.42</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0.82</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w:t>
            </w:r>
          </w:p>
        </w:tc>
        <w:tc>
          <w:tcPr>
            <w:tcW w:w="161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40%</w:t>
            </w:r>
          </w:p>
        </w:tc>
      </w:tr>
      <w:tr w:rsidR="00043727">
        <w:trPr>
          <w:trHeight w:val="521"/>
          <w:jc w:val="center"/>
        </w:trPr>
        <w:tc>
          <w:tcPr>
            <w:tcW w:w="2728" w:type="dxa"/>
            <w:gridSpan w:val="3"/>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kern w:val="0"/>
                <w:szCs w:val="21"/>
              </w:rPr>
              <w:t>合计</w:t>
            </w:r>
          </w:p>
        </w:tc>
        <w:tc>
          <w:tcPr>
            <w:tcW w:w="130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≥45%</w:t>
            </w:r>
          </w:p>
        </w:tc>
        <w:tc>
          <w:tcPr>
            <w:tcW w:w="1761"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≥100</w:t>
            </w:r>
          </w:p>
        </w:tc>
        <w:tc>
          <w:tcPr>
            <w:tcW w:w="1947"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≥20</w:t>
            </w:r>
          </w:p>
        </w:tc>
        <w:tc>
          <w:tcPr>
            <w:tcW w:w="192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≥200</w:t>
            </w:r>
          </w:p>
        </w:tc>
        <w:tc>
          <w:tcPr>
            <w:tcW w:w="1719"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≥2</w:t>
            </w:r>
          </w:p>
        </w:tc>
        <w:tc>
          <w:tcPr>
            <w:tcW w:w="1616" w:type="dxa"/>
            <w:shd w:val="clear" w:color="auto" w:fill="auto"/>
            <w:noWrap/>
            <w:tcMar>
              <w:top w:w="15" w:type="dxa"/>
              <w:left w:w="15" w:type="dxa"/>
              <w:right w:w="15" w:type="dxa"/>
            </w:tcMar>
            <w:vAlign w:val="center"/>
          </w:tcPr>
          <w:p w:rsidR="00043727" w:rsidRDefault="00EF3381">
            <w:pPr>
              <w:jc w:val="center"/>
              <w:rPr>
                <w:rFonts w:ascii="仿宋" w:eastAsia="仿宋" w:hAnsi="仿宋" w:cs="仿宋"/>
                <w:szCs w:val="21"/>
              </w:rPr>
            </w:pPr>
            <w:r>
              <w:rPr>
                <w:rFonts w:ascii="仿宋" w:eastAsia="仿宋" w:hAnsi="仿宋" w:cs="仿宋" w:hint="eastAsia"/>
                <w:szCs w:val="21"/>
              </w:rPr>
              <w:t>≥35%</w:t>
            </w:r>
          </w:p>
        </w:tc>
      </w:tr>
    </w:tbl>
    <w:p w:rsidR="00043727" w:rsidRDefault="00EF3381">
      <w:pPr>
        <w:adjustRightInd w:val="0"/>
        <w:snapToGrid w:val="0"/>
        <w:spacing w:line="400" w:lineRule="exact"/>
        <w:ind w:firstLineChars="200" w:firstLine="420"/>
        <w:rPr>
          <w:rFonts w:ascii="仿宋" w:eastAsia="仿宋" w:hAnsi="仿宋" w:cs="仿宋"/>
          <w:szCs w:val="21"/>
        </w:rPr>
      </w:pPr>
      <w:r>
        <w:rPr>
          <w:rFonts w:ascii="仿宋" w:eastAsia="仿宋" w:hAnsi="仿宋" w:cs="仿宋" w:hint="eastAsia"/>
          <w:szCs w:val="21"/>
        </w:rPr>
        <w:t>注1：当《东莞市绿色建筑发展专项规划》提出更高要求时，按专项规划的要求执行。</w:t>
      </w:r>
    </w:p>
    <w:p w:rsidR="00043727" w:rsidRDefault="00EF3381">
      <w:pPr>
        <w:adjustRightInd w:val="0"/>
        <w:snapToGrid w:val="0"/>
        <w:spacing w:line="400" w:lineRule="exact"/>
        <w:ind w:firstLineChars="200" w:firstLine="420"/>
      </w:pPr>
      <w:r>
        <w:rPr>
          <w:rFonts w:ascii="仿宋" w:eastAsia="仿宋" w:hAnsi="仿宋" w:cs="仿宋" w:hint="eastAsia"/>
          <w:szCs w:val="21"/>
        </w:rPr>
        <w:t>注2：根据《东莞市装配式建筑专项规划（2020-2025年）》，横沥镇、东坑镇和企石镇装配式建筑规划按东部产业园片区的要求执行。</w:t>
      </w:r>
    </w:p>
    <w:sectPr w:rsidR="00043727" w:rsidSect="00043727">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48D" w:rsidRDefault="00ED148D" w:rsidP="00043727">
      <w:r>
        <w:separator/>
      </w:r>
    </w:p>
  </w:endnote>
  <w:endnote w:type="continuationSeparator" w:id="0">
    <w:p w:rsidR="00ED148D" w:rsidRDefault="00ED148D" w:rsidP="000437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微软雅黑"/>
    <w:charset w:val="86"/>
    <w:family w:val="auto"/>
    <w:pitch w:val="default"/>
    <w:sig w:usb0="00000000"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DE0E6D">
    <w:pPr>
      <w:pStyle w:val="a8"/>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0+F+ksQEA&#10;AE4DAAAOAAAAAAAAAAEAIAAAAB4BAABkcnMvZTJvRG9jLnhtbFBLBQYAAAAABgAGAFkBAABBBQAA&#10;AAA=&#10;" filled="f" stroked="f">
          <v:textbox style="mso-fit-shape-to-text:t" inset="0,0,0,0">
            <w:txbxContent>
              <w:p w:rsidR="00043727" w:rsidRDefault="00043727">
                <w:pPr>
                  <w:pStyle w:val="a8"/>
                  <w:rPr>
                    <w:sz w:val="21"/>
                    <w:szCs w:val="21"/>
                  </w:rPr>
                </w:pP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043727">
    <w:pPr>
      <w:pStyle w:val="a8"/>
    </w:pPr>
  </w:p>
  <w:p w:rsidR="00043727" w:rsidRDefault="00043727">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043727">
    <w:pPr>
      <w:pStyle w:val="a8"/>
    </w:pPr>
  </w:p>
  <w:p w:rsidR="00043727" w:rsidRDefault="00043727">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DE0E6D">
    <w:pPr>
      <w:pStyle w:val="a8"/>
      <w:tabs>
        <w:tab w:val="clear" w:pos="8306"/>
        <w:tab w:val="left" w:pos="7063"/>
      </w:tabs>
    </w:pPr>
    <w:r>
      <w:pict>
        <v:shapetype id="_x0000_t202" coordsize="21600,21600" o:spt="202" path="m,l,21600r21600,l21600,xe">
          <v:stroke joinstyle="miter"/>
          <v:path gradientshapeok="t" o:connecttype="rect"/>
        </v:shapetype>
        <v:shape id="_x0000_s4099" type="#_x0000_t202" style="position:absolute;margin-left:0;margin-top:16pt;width:2in;height:2in;z-index:25166336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oeUYErIB&#10;AABOAwAADgAAAAAAAAABACAAAAAeAQAAZHJzL2Uyb0RvYy54bWxQSwUGAAAAAAYABgBZAQAAQgUA&#10;AAAA&#10;" filled="f" stroked="f">
          <v:textbox style="mso-fit-shape-to-text:t" inset="0,0,0,0">
            <w:txbxContent>
              <w:p w:rsidR="00043727" w:rsidRDefault="00DE0E6D">
                <w:pPr>
                  <w:pStyle w:val="a8"/>
                  <w:rPr>
                    <w:sz w:val="21"/>
                    <w:szCs w:val="21"/>
                  </w:rPr>
                </w:pPr>
                <w:r>
                  <w:rPr>
                    <w:rFonts w:hint="eastAsia"/>
                    <w:sz w:val="21"/>
                    <w:szCs w:val="21"/>
                  </w:rPr>
                  <w:fldChar w:fldCharType="begin"/>
                </w:r>
                <w:r w:rsidR="00EF3381">
                  <w:rPr>
                    <w:rFonts w:hint="eastAsia"/>
                    <w:sz w:val="21"/>
                    <w:szCs w:val="21"/>
                  </w:rPr>
                  <w:instrText xml:space="preserve"> PAGE  \* MERGEFORMAT </w:instrText>
                </w:r>
                <w:r>
                  <w:rPr>
                    <w:rFonts w:hint="eastAsia"/>
                    <w:sz w:val="21"/>
                    <w:szCs w:val="21"/>
                  </w:rPr>
                  <w:fldChar w:fldCharType="separate"/>
                </w:r>
                <w:r w:rsidR="005B791B">
                  <w:rPr>
                    <w:noProof/>
                    <w:sz w:val="21"/>
                    <w:szCs w:val="21"/>
                  </w:rPr>
                  <w:t>7</w:t>
                </w:r>
                <w:r>
                  <w:rPr>
                    <w:rFonts w:hint="eastAsia"/>
                    <w:sz w:val="21"/>
                    <w:szCs w:val="21"/>
                  </w:rPr>
                  <w:fldChar w:fldCharType="end"/>
                </w:r>
              </w:p>
            </w:txbxContent>
          </v:textbox>
          <w10:wrap anchorx="margin"/>
        </v:shape>
      </w:pict>
    </w:r>
    <w:r w:rsidR="00EF3381">
      <w:rPr>
        <w:rFonts w:hint="eastAsia"/>
      </w:rPr>
      <w:tab/>
    </w:r>
  </w:p>
  <w:p w:rsidR="00043727" w:rsidRDefault="00043727">
    <w:pPr>
      <w:pStyle w:val="a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DE0E6D">
    <w:pPr>
      <w:pStyle w:val="a8"/>
    </w:pPr>
    <w:r>
      <w:pict>
        <v:shapetype id="_x0000_t202" coordsize="21600,21600" o:spt="202" path="m,l,21600r21600,l21600,xe">
          <v:stroke joinstyle="miter"/>
          <v:path gradientshapeok="t" o:connecttype="rect"/>
        </v:shapetype>
        <v:shape id="_x0000_s4103" type="#_x0000_t202" style="position:absolute;margin-left:0;margin-top:0;width:2in;height:2in;z-index:251683840;mso-wrap-style:none;mso-position-horizontal:center;mso-position-horizontal-relative:margin" filled="f" stroked="f">
          <v:textbox style="mso-fit-shape-to-text:t" inset="0,0,0,0">
            <w:txbxContent>
              <w:p w:rsidR="00043727" w:rsidRDefault="00DE0E6D">
                <w:pPr>
                  <w:pStyle w:val="a8"/>
                </w:pPr>
                <w:r>
                  <w:rPr>
                    <w:rFonts w:hint="eastAsia"/>
                  </w:rPr>
                  <w:fldChar w:fldCharType="begin"/>
                </w:r>
                <w:r w:rsidR="00EF3381">
                  <w:rPr>
                    <w:rFonts w:hint="eastAsia"/>
                  </w:rPr>
                  <w:instrText xml:space="preserve"> PAGE  \* MERGEFORMAT </w:instrText>
                </w:r>
                <w:r>
                  <w:rPr>
                    <w:rFonts w:hint="eastAsia"/>
                  </w:rPr>
                  <w:fldChar w:fldCharType="separate"/>
                </w:r>
                <w:r w:rsidR="005B791B">
                  <w:rPr>
                    <w:noProof/>
                  </w:rPr>
                  <w:t>11</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DE0E6D">
    <w:pPr>
      <w:pStyle w:val="a8"/>
      <w:tabs>
        <w:tab w:val="clear" w:pos="8306"/>
        <w:tab w:val="left" w:pos="7063"/>
      </w:tabs>
    </w:pPr>
    <w:r>
      <w:pict>
        <v:shapetype id="_x0000_t202" coordsize="21600,21600" o:spt="202" path="m,l,21600r21600,l21600,xe">
          <v:stroke joinstyle="miter"/>
          <v:path gradientshapeok="t" o:connecttype="rect"/>
        </v:shapetype>
        <v:shape id="_x0000_s4101" type="#_x0000_t202" style="position:absolute;margin-left:0;margin-top:16pt;width:2in;height:2in;z-index:25168179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oeUYErIB&#10;AABOAwAADgAAAAAAAAABACAAAAAeAQAAZHJzL2Uyb0RvYy54bWxQSwUGAAAAAAYABgBZAQAAQgUA&#10;AAAA&#10;" filled="f" stroked="f">
          <v:textbox style="mso-fit-shape-to-text:t" inset="0,0,0,0">
            <w:txbxContent>
              <w:p w:rsidR="00043727" w:rsidRDefault="00DE0E6D">
                <w:pPr>
                  <w:pStyle w:val="a8"/>
                  <w:rPr>
                    <w:sz w:val="21"/>
                    <w:szCs w:val="21"/>
                  </w:rPr>
                </w:pPr>
                <w:r>
                  <w:rPr>
                    <w:rFonts w:hint="eastAsia"/>
                    <w:sz w:val="21"/>
                    <w:szCs w:val="21"/>
                  </w:rPr>
                  <w:fldChar w:fldCharType="begin"/>
                </w:r>
                <w:r w:rsidR="00EF3381">
                  <w:rPr>
                    <w:rFonts w:hint="eastAsia"/>
                    <w:sz w:val="21"/>
                    <w:szCs w:val="21"/>
                  </w:rPr>
                  <w:instrText xml:space="preserve"> PAGE  \* MERGEFORMAT </w:instrText>
                </w:r>
                <w:r>
                  <w:rPr>
                    <w:rFonts w:hint="eastAsia"/>
                    <w:sz w:val="21"/>
                    <w:szCs w:val="21"/>
                  </w:rPr>
                  <w:fldChar w:fldCharType="separate"/>
                </w:r>
                <w:r w:rsidR="005B791B">
                  <w:rPr>
                    <w:noProof/>
                    <w:sz w:val="21"/>
                    <w:szCs w:val="21"/>
                  </w:rPr>
                  <w:t>20</w:t>
                </w:r>
                <w:r>
                  <w:rPr>
                    <w:rFonts w:hint="eastAsia"/>
                    <w:sz w:val="21"/>
                    <w:szCs w:val="21"/>
                  </w:rPr>
                  <w:fldChar w:fldCharType="end"/>
                </w:r>
              </w:p>
            </w:txbxContent>
          </v:textbox>
          <w10:wrap anchorx="margin"/>
        </v:shape>
      </w:pict>
    </w:r>
    <w:r w:rsidR="00EF3381">
      <w:rPr>
        <w:rFonts w:hint="eastAsia"/>
      </w:rPr>
      <w:tab/>
    </w:r>
  </w:p>
  <w:p w:rsidR="00043727" w:rsidRDefault="0004372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48D" w:rsidRDefault="00ED148D" w:rsidP="00043727">
      <w:r>
        <w:separator/>
      </w:r>
    </w:p>
  </w:footnote>
  <w:footnote w:type="continuationSeparator" w:id="0">
    <w:p w:rsidR="00ED148D" w:rsidRDefault="00ED148D" w:rsidP="000437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043727">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043727">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727" w:rsidRDefault="00043727">
    <w:pPr>
      <w:pStyle w:val="a9"/>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oNotShadeFormData/>
  <w:noPunctuationKerning/>
  <w:characterSpacingControl w:val="compressPunctuation"/>
  <w:doNotValidateAgainstSchema/>
  <w:doNotDemarcateInvalidXml/>
  <w:hdrShapeDefaults>
    <o:shapedefaults v:ext="edit" spidmax="819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B5A780E8"/>
    <w:rsid w:val="B6D1768B"/>
    <w:rsid w:val="B8A339A1"/>
    <w:rsid w:val="B9FBC380"/>
    <w:rsid w:val="BB11F94E"/>
    <w:rsid w:val="BBFF3DD7"/>
    <w:rsid w:val="BD7C5409"/>
    <w:rsid w:val="BDEA2229"/>
    <w:rsid w:val="BE09FA6A"/>
    <w:rsid w:val="BFFF5B27"/>
    <w:rsid w:val="C0C4796E"/>
    <w:rsid w:val="C1A9ED32"/>
    <w:rsid w:val="C40B8803"/>
    <w:rsid w:val="C49674F0"/>
    <w:rsid w:val="C5E68C71"/>
    <w:rsid w:val="C6E1BB01"/>
    <w:rsid w:val="C6E6C72A"/>
    <w:rsid w:val="C79D3553"/>
    <w:rsid w:val="C873725D"/>
    <w:rsid w:val="CA02E84F"/>
    <w:rsid w:val="CCCB9818"/>
    <w:rsid w:val="CD797CAB"/>
    <w:rsid w:val="CE5F9BAA"/>
    <w:rsid w:val="CE9DFAB7"/>
    <w:rsid w:val="CF98DB34"/>
    <w:rsid w:val="CFCE7A6B"/>
    <w:rsid w:val="D1C85E2C"/>
    <w:rsid w:val="D4364B95"/>
    <w:rsid w:val="D4D210D4"/>
    <w:rsid w:val="D62DB1AE"/>
    <w:rsid w:val="D668DA27"/>
    <w:rsid w:val="D6FE9860"/>
    <w:rsid w:val="D8AB58EA"/>
    <w:rsid w:val="D96093C2"/>
    <w:rsid w:val="DB0104EC"/>
    <w:rsid w:val="DD43CEB1"/>
    <w:rsid w:val="DFBB48F5"/>
    <w:rsid w:val="DFCC197C"/>
    <w:rsid w:val="E26792E8"/>
    <w:rsid w:val="E2DF1A29"/>
    <w:rsid w:val="E41C2D27"/>
    <w:rsid w:val="E41F2FDE"/>
    <w:rsid w:val="E48987EF"/>
    <w:rsid w:val="E596B5F7"/>
    <w:rsid w:val="E5A9975C"/>
    <w:rsid w:val="E814FEA1"/>
    <w:rsid w:val="E85A2E15"/>
    <w:rsid w:val="EBDD4D9D"/>
    <w:rsid w:val="ED01165D"/>
    <w:rsid w:val="EE300775"/>
    <w:rsid w:val="EEF7A18E"/>
    <w:rsid w:val="EF9DA58B"/>
    <w:rsid w:val="F0F67368"/>
    <w:rsid w:val="F28A1D8C"/>
    <w:rsid w:val="F31363B9"/>
    <w:rsid w:val="F691757A"/>
    <w:rsid w:val="F6DA6FD2"/>
    <w:rsid w:val="F79408F4"/>
    <w:rsid w:val="F924ED9F"/>
    <w:rsid w:val="F9F74D2F"/>
    <w:rsid w:val="F9FCE0D1"/>
    <w:rsid w:val="FBA95783"/>
    <w:rsid w:val="FBE540FA"/>
    <w:rsid w:val="FBEFE258"/>
    <w:rsid w:val="FC868816"/>
    <w:rsid w:val="FCE54D1C"/>
    <w:rsid w:val="FFFBA6F6"/>
    <w:rsid w:val="00004763"/>
    <w:rsid w:val="0001398B"/>
    <w:rsid w:val="00043727"/>
    <w:rsid w:val="000E4F15"/>
    <w:rsid w:val="00104E74"/>
    <w:rsid w:val="00160DFC"/>
    <w:rsid w:val="00172A27"/>
    <w:rsid w:val="0019117B"/>
    <w:rsid w:val="001F6663"/>
    <w:rsid w:val="002260E6"/>
    <w:rsid w:val="00226BE3"/>
    <w:rsid w:val="0024031B"/>
    <w:rsid w:val="002572E5"/>
    <w:rsid w:val="00287970"/>
    <w:rsid w:val="002D079A"/>
    <w:rsid w:val="00334396"/>
    <w:rsid w:val="00373AF0"/>
    <w:rsid w:val="0039025D"/>
    <w:rsid w:val="003B72D9"/>
    <w:rsid w:val="003D660B"/>
    <w:rsid w:val="00422ADC"/>
    <w:rsid w:val="00463860"/>
    <w:rsid w:val="004A6E38"/>
    <w:rsid w:val="004D1A5B"/>
    <w:rsid w:val="004E3498"/>
    <w:rsid w:val="00556FBD"/>
    <w:rsid w:val="005B791B"/>
    <w:rsid w:val="005C2F5D"/>
    <w:rsid w:val="00623DC1"/>
    <w:rsid w:val="00656F1C"/>
    <w:rsid w:val="006605EE"/>
    <w:rsid w:val="00690226"/>
    <w:rsid w:val="006B3631"/>
    <w:rsid w:val="006F709C"/>
    <w:rsid w:val="00705BB2"/>
    <w:rsid w:val="00705D08"/>
    <w:rsid w:val="00762442"/>
    <w:rsid w:val="00767AD1"/>
    <w:rsid w:val="00811938"/>
    <w:rsid w:val="00851BC0"/>
    <w:rsid w:val="00881CA1"/>
    <w:rsid w:val="008D6A21"/>
    <w:rsid w:val="00907943"/>
    <w:rsid w:val="00924D22"/>
    <w:rsid w:val="009274EE"/>
    <w:rsid w:val="00962F68"/>
    <w:rsid w:val="009B33FD"/>
    <w:rsid w:val="009F62A7"/>
    <w:rsid w:val="00A03E76"/>
    <w:rsid w:val="00A1063D"/>
    <w:rsid w:val="00A11ADB"/>
    <w:rsid w:val="00A3413F"/>
    <w:rsid w:val="00A502D2"/>
    <w:rsid w:val="00A76A3E"/>
    <w:rsid w:val="00A916A6"/>
    <w:rsid w:val="00B01606"/>
    <w:rsid w:val="00B26992"/>
    <w:rsid w:val="00B40B3F"/>
    <w:rsid w:val="00B86C68"/>
    <w:rsid w:val="00C225C1"/>
    <w:rsid w:val="00C4142D"/>
    <w:rsid w:val="00C50A76"/>
    <w:rsid w:val="00C5145B"/>
    <w:rsid w:val="00C55BE7"/>
    <w:rsid w:val="00D23D85"/>
    <w:rsid w:val="00D659FA"/>
    <w:rsid w:val="00D748D7"/>
    <w:rsid w:val="00D957B2"/>
    <w:rsid w:val="00DD72CC"/>
    <w:rsid w:val="00DE0E6D"/>
    <w:rsid w:val="00E3533F"/>
    <w:rsid w:val="00E50AE5"/>
    <w:rsid w:val="00E93E87"/>
    <w:rsid w:val="00EC65EA"/>
    <w:rsid w:val="00ED148D"/>
    <w:rsid w:val="00EE3AB6"/>
    <w:rsid w:val="00EF3381"/>
    <w:rsid w:val="00FB1FA1"/>
    <w:rsid w:val="00FC6437"/>
    <w:rsid w:val="01306D48"/>
    <w:rsid w:val="01710F4F"/>
    <w:rsid w:val="01E94248"/>
    <w:rsid w:val="01EF0869"/>
    <w:rsid w:val="024B2F5A"/>
    <w:rsid w:val="0296F4E3"/>
    <w:rsid w:val="02AE051B"/>
    <w:rsid w:val="02CA57EF"/>
    <w:rsid w:val="02CF5DA7"/>
    <w:rsid w:val="030B4944"/>
    <w:rsid w:val="03101B18"/>
    <w:rsid w:val="03605B02"/>
    <w:rsid w:val="037A46C4"/>
    <w:rsid w:val="037F2937"/>
    <w:rsid w:val="03C42388"/>
    <w:rsid w:val="03DD24C3"/>
    <w:rsid w:val="0424642A"/>
    <w:rsid w:val="0427338A"/>
    <w:rsid w:val="04D507DF"/>
    <w:rsid w:val="04DA31C4"/>
    <w:rsid w:val="04F676F3"/>
    <w:rsid w:val="050F0D15"/>
    <w:rsid w:val="053A2049"/>
    <w:rsid w:val="05486C2A"/>
    <w:rsid w:val="05772934"/>
    <w:rsid w:val="05862DB4"/>
    <w:rsid w:val="0595017B"/>
    <w:rsid w:val="0601125E"/>
    <w:rsid w:val="06226B68"/>
    <w:rsid w:val="06237A14"/>
    <w:rsid w:val="0632FCBB"/>
    <w:rsid w:val="06537C90"/>
    <w:rsid w:val="066C5494"/>
    <w:rsid w:val="0694027C"/>
    <w:rsid w:val="06A307D3"/>
    <w:rsid w:val="06E15158"/>
    <w:rsid w:val="07921C86"/>
    <w:rsid w:val="079C743F"/>
    <w:rsid w:val="08174921"/>
    <w:rsid w:val="083D9510"/>
    <w:rsid w:val="0855767B"/>
    <w:rsid w:val="08693188"/>
    <w:rsid w:val="08AA4157"/>
    <w:rsid w:val="09146CA3"/>
    <w:rsid w:val="095A6DB4"/>
    <w:rsid w:val="09765F8B"/>
    <w:rsid w:val="0983A963"/>
    <w:rsid w:val="09E3C856"/>
    <w:rsid w:val="09EFA067"/>
    <w:rsid w:val="09F276F6"/>
    <w:rsid w:val="0A1148E0"/>
    <w:rsid w:val="0A182008"/>
    <w:rsid w:val="0A2C7939"/>
    <w:rsid w:val="0A547325"/>
    <w:rsid w:val="0A587006"/>
    <w:rsid w:val="0A6C186B"/>
    <w:rsid w:val="0B030AE3"/>
    <w:rsid w:val="0B516513"/>
    <w:rsid w:val="0B5836E5"/>
    <w:rsid w:val="0B9F1A8B"/>
    <w:rsid w:val="0BB672F9"/>
    <w:rsid w:val="0BDCA6C7"/>
    <w:rsid w:val="0C06162D"/>
    <w:rsid w:val="0C291F65"/>
    <w:rsid w:val="0C570A9C"/>
    <w:rsid w:val="0C75476A"/>
    <w:rsid w:val="0CDA4138"/>
    <w:rsid w:val="0CF27664"/>
    <w:rsid w:val="0D257743"/>
    <w:rsid w:val="0D26B008"/>
    <w:rsid w:val="0D32395F"/>
    <w:rsid w:val="0D4A2F65"/>
    <w:rsid w:val="0D5E469B"/>
    <w:rsid w:val="0D5F46B9"/>
    <w:rsid w:val="0D651EBA"/>
    <w:rsid w:val="0D6D1536"/>
    <w:rsid w:val="0D781653"/>
    <w:rsid w:val="0E124E38"/>
    <w:rsid w:val="0E4432BF"/>
    <w:rsid w:val="0E557356"/>
    <w:rsid w:val="0E5D43B8"/>
    <w:rsid w:val="0E8B162B"/>
    <w:rsid w:val="0E9C66AC"/>
    <w:rsid w:val="0EB31C2A"/>
    <w:rsid w:val="0F006F02"/>
    <w:rsid w:val="0F6B6755"/>
    <w:rsid w:val="0F9B11D5"/>
    <w:rsid w:val="0FADE07C"/>
    <w:rsid w:val="0FBF1FA5"/>
    <w:rsid w:val="0FEC6251"/>
    <w:rsid w:val="10277B9C"/>
    <w:rsid w:val="105E329C"/>
    <w:rsid w:val="106933E1"/>
    <w:rsid w:val="107F26BE"/>
    <w:rsid w:val="10E61B29"/>
    <w:rsid w:val="10F30A3A"/>
    <w:rsid w:val="1100318E"/>
    <w:rsid w:val="11015254"/>
    <w:rsid w:val="11523E29"/>
    <w:rsid w:val="1180357D"/>
    <w:rsid w:val="11ED6513"/>
    <w:rsid w:val="11F259E6"/>
    <w:rsid w:val="12512521"/>
    <w:rsid w:val="12553041"/>
    <w:rsid w:val="127776B0"/>
    <w:rsid w:val="12CF0156"/>
    <w:rsid w:val="12ED1E9A"/>
    <w:rsid w:val="132D7227"/>
    <w:rsid w:val="1378132D"/>
    <w:rsid w:val="138C065D"/>
    <w:rsid w:val="13A518E8"/>
    <w:rsid w:val="13C41D1A"/>
    <w:rsid w:val="13E75DA6"/>
    <w:rsid w:val="13EA1F85"/>
    <w:rsid w:val="140D602D"/>
    <w:rsid w:val="14877618"/>
    <w:rsid w:val="14C111AC"/>
    <w:rsid w:val="14CB44CC"/>
    <w:rsid w:val="14D64B2D"/>
    <w:rsid w:val="14F1597F"/>
    <w:rsid w:val="14F247D4"/>
    <w:rsid w:val="1501B63B"/>
    <w:rsid w:val="150E37DC"/>
    <w:rsid w:val="157D61A8"/>
    <w:rsid w:val="1581DCBC"/>
    <w:rsid w:val="15A074FD"/>
    <w:rsid w:val="16037014"/>
    <w:rsid w:val="164F069F"/>
    <w:rsid w:val="165633F1"/>
    <w:rsid w:val="16F07322"/>
    <w:rsid w:val="17474529"/>
    <w:rsid w:val="174920D3"/>
    <w:rsid w:val="175E0B5F"/>
    <w:rsid w:val="1773197E"/>
    <w:rsid w:val="178E3451"/>
    <w:rsid w:val="17A476DE"/>
    <w:rsid w:val="17AF08A8"/>
    <w:rsid w:val="17BF748C"/>
    <w:rsid w:val="17E53BB3"/>
    <w:rsid w:val="17E6629B"/>
    <w:rsid w:val="18253AB0"/>
    <w:rsid w:val="182F3813"/>
    <w:rsid w:val="184962F7"/>
    <w:rsid w:val="1884536A"/>
    <w:rsid w:val="18A63EF7"/>
    <w:rsid w:val="18AB63FB"/>
    <w:rsid w:val="18CB1D6B"/>
    <w:rsid w:val="193A7965"/>
    <w:rsid w:val="19780842"/>
    <w:rsid w:val="19C1437C"/>
    <w:rsid w:val="19EB564C"/>
    <w:rsid w:val="19EFF2BE"/>
    <w:rsid w:val="1A1B6EC3"/>
    <w:rsid w:val="1A2E55C8"/>
    <w:rsid w:val="1A32758E"/>
    <w:rsid w:val="1AA42DBD"/>
    <w:rsid w:val="1AE56BE7"/>
    <w:rsid w:val="1AE95BF4"/>
    <w:rsid w:val="1AF12A5F"/>
    <w:rsid w:val="1B1B199E"/>
    <w:rsid w:val="1B65577E"/>
    <w:rsid w:val="1B7A3C2E"/>
    <w:rsid w:val="1B8E75A5"/>
    <w:rsid w:val="1B9D1F86"/>
    <w:rsid w:val="1BA6CAAC"/>
    <w:rsid w:val="1BBBF45A"/>
    <w:rsid w:val="1C254C19"/>
    <w:rsid w:val="1C347A3C"/>
    <w:rsid w:val="1C57070D"/>
    <w:rsid w:val="1C6A4C76"/>
    <w:rsid w:val="1C6B1D67"/>
    <w:rsid w:val="1C833B17"/>
    <w:rsid w:val="1C8F9A5E"/>
    <w:rsid w:val="1C9A7E6C"/>
    <w:rsid w:val="1CC129EF"/>
    <w:rsid w:val="1CC8488F"/>
    <w:rsid w:val="1CE78656"/>
    <w:rsid w:val="1CFC69F7"/>
    <w:rsid w:val="1D052732"/>
    <w:rsid w:val="1D3C2A95"/>
    <w:rsid w:val="1D4D3272"/>
    <w:rsid w:val="1D7D5254"/>
    <w:rsid w:val="1D82377D"/>
    <w:rsid w:val="1DAA35F5"/>
    <w:rsid w:val="1DC037E6"/>
    <w:rsid w:val="1E1D4417"/>
    <w:rsid w:val="1E625AF3"/>
    <w:rsid w:val="1E7567FD"/>
    <w:rsid w:val="1E8CA171"/>
    <w:rsid w:val="1E968B2D"/>
    <w:rsid w:val="1EBA6D82"/>
    <w:rsid w:val="1EBB1794"/>
    <w:rsid w:val="1F063886"/>
    <w:rsid w:val="1F1076FA"/>
    <w:rsid w:val="1F51141E"/>
    <w:rsid w:val="1F605261"/>
    <w:rsid w:val="1F7A589F"/>
    <w:rsid w:val="1FB430EA"/>
    <w:rsid w:val="1FEF7900"/>
    <w:rsid w:val="203E2BF0"/>
    <w:rsid w:val="20490DD6"/>
    <w:rsid w:val="20C089D8"/>
    <w:rsid w:val="20D7325C"/>
    <w:rsid w:val="215268AB"/>
    <w:rsid w:val="21834376"/>
    <w:rsid w:val="21CF41FC"/>
    <w:rsid w:val="222431C9"/>
    <w:rsid w:val="225B24A9"/>
    <w:rsid w:val="226C4757"/>
    <w:rsid w:val="22B9F401"/>
    <w:rsid w:val="22BE6DCB"/>
    <w:rsid w:val="22C74F35"/>
    <w:rsid w:val="22D132E0"/>
    <w:rsid w:val="2381361E"/>
    <w:rsid w:val="23825431"/>
    <w:rsid w:val="239A613D"/>
    <w:rsid w:val="23B04509"/>
    <w:rsid w:val="23B269A7"/>
    <w:rsid w:val="23CA04C6"/>
    <w:rsid w:val="24032B46"/>
    <w:rsid w:val="240C2030"/>
    <w:rsid w:val="246026F4"/>
    <w:rsid w:val="24640854"/>
    <w:rsid w:val="246E1BF4"/>
    <w:rsid w:val="249447E1"/>
    <w:rsid w:val="249F6FEB"/>
    <w:rsid w:val="24F6305F"/>
    <w:rsid w:val="250C216D"/>
    <w:rsid w:val="25125A6B"/>
    <w:rsid w:val="251C772D"/>
    <w:rsid w:val="25554CBD"/>
    <w:rsid w:val="259F53DC"/>
    <w:rsid w:val="25F934A6"/>
    <w:rsid w:val="265BA6B5"/>
    <w:rsid w:val="266B1BAE"/>
    <w:rsid w:val="269C189D"/>
    <w:rsid w:val="27085A7B"/>
    <w:rsid w:val="27A57650"/>
    <w:rsid w:val="27AC5EF6"/>
    <w:rsid w:val="27D516EA"/>
    <w:rsid w:val="2801AA8E"/>
    <w:rsid w:val="28684D59"/>
    <w:rsid w:val="287A54CB"/>
    <w:rsid w:val="28A92834"/>
    <w:rsid w:val="28F62244"/>
    <w:rsid w:val="29730EBF"/>
    <w:rsid w:val="29AC671F"/>
    <w:rsid w:val="2A06090A"/>
    <w:rsid w:val="2A10A8EE"/>
    <w:rsid w:val="2A243749"/>
    <w:rsid w:val="2A593A09"/>
    <w:rsid w:val="2AA16AE8"/>
    <w:rsid w:val="2AAA55F3"/>
    <w:rsid w:val="2AAE4C26"/>
    <w:rsid w:val="2AAE5D65"/>
    <w:rsid w:val="2AB58BE1"/>
    <w:rsid w:val="2AD55761"/>
    <w:rsid w:val="2B47EDB8"/>
    <w:rsid w:val="2B6A4FA5"/>
    <w:rsid w:val="2BA76DC1"/>
    <w:rsid w:val="2BCF3D57"/>
    <w:rsid w:val="2C241F74"/>
    <w:rsid w:val="2C27428F"/>
    <w:rsid w:val="2C304982"/>
    <w:rsid w:val="2C424E76"/>
    <w:rsid w:val="2C5E8A33"/>
    <w:rsid w:val="2C7D7C80"/>
    <w:rsid w:val="2C8B5092"/>
    <w:rsid w:val="2C957D04"/>
    <w:rsid w:val="2CA638C0"/>
    <w:rsid w:val="2CC1DC2D"/>
    <w:rsid w:val="2CCE497E"/>
    <w:rsid w:val="2D501804"/>
    <w:rsid w:val="2DAC513F"/>
    <w:rsid w:val="2DC66016"/>
    <w:rsid w:val="2DF30960"/>
    <w:rsid w:val="2E3F65C5"/>
    <w:rsid w:val="2EBA536A"/>
    <w:rsid w:val="2EC0187F"/>
    <w:rsid w:val="2ECF1CD1"/>
    <w:rsid w:val="2F2C256B"/>
    <w:rsid w:val="2F7618C6"/>
    <w:rsid w:val="2F9A1FB9"/>
    <w:rsid w:val="2FA92235"/>
    <w:rsid w:val="30102D84"/>
    <w:rsid w:val="30255ED6"/>
    <w:rsid w:val="3068365B"/>
    <w:rsid w:val="30F44B40"/>
    <w:rsid w:val="3118459C"/>
    <w:rsid w:val="31466F7A"/>
    <w:rsid w:val="315E7920"/>
    <w:rsid w:val="31856B3D"/>
    <w:rsid w:val="31A367AC"/>
    <w:rsid w:val="31DF7062"/>
    <w:rsid w:val="320A449F"/>
    <w:rsid w:val="32523B47"/>
    <w:rsid w:val="327E1929"/>
    <w:rsid w:val="32941185"/>
    <w:rsid w:val="329CB92F"/>
    <w:rsid w:val="32B06A88"/>
    <w:rsid w:val="32B85AFA"/>
    <w:rsid w:val="32EB1D4C"/>
    <w:rsid w:val="333A6706"/>
    <w:rsid w:val="33643F14"/>
    <w:rsid w:val="336C5BDE"/>
    <w:rsid w:val="33BB6EE1"/>
    <w:rsid w:val="33C365F8"/>
    <w:rsid w:val="33C74413"/>
    <w:rsid w:val="33CBAD91"/>
    <w:rsid w:val="33E51440"/>
    <w:rsid w:val="3431FC12"/>
    <w:rsid w:val="344E508B"/>
    <w:rsid w:val="34717927"/>
    <w:rsid w:val="34A826B6"/>
    <w:rsid w:val="34DC5ECA"/>
    <w:rsid w:val="34DF76FF"/>
    <w:rsid w:val="34E94204"/>
    <w:rsid w:val="34F992DA"/>
    <w:rsid w:val="35557C1D"/>
    <w:rsid w:val="357050CE"/>
    <w:rsid w:val="357B65C4"/>
    <w:rsid w:val="357E7F7E"/>
    <w:rsid w:val="358740DB"/>
    <w:rsid w:val="35D654B6"/>
    <w:rsid w:val="363E4E5D"/>
    <w:rsid w:val="364667C2"/>
    <w:rsid w:val="366A1F3A"/>
    <w:rsid w:val="366A4E23"/>
    <w:rsid w:val="36703F81"/>
    <w:rsid w:val="368748F8"/>
    <w:rsid w:val="36B535E0"/>
    <w:rsid w:val="36FC6B10"/>
    <w:rsid w:val="37121381"/>
    <w:rsid w:val="375F4AE7"/>
    <w:rsid w:val="377A4488"/>
    <w:rsid w:val="37A6314D"/>
    <w:rsid w:val="37BA673E"/>
    <w:rsid w:val="381F6E3A"/>
    <w:rsid w:val="38466BA5"/>
    <w:rsid w:val="38832385"/>
    <w:rsid w:val="38A860B8"/>
    <w:rsid w:val="38CC31DB"/>
    <w:rsid w:val="393E701D"/>
    <w:rsid w:val="39461C17"/>
    <w:rsid w:val="394716B2"/>
    <w:rsid w:val="39491C9D"/>
    <w:rsid w:val="394D7989"/>
    <w:rsid w:val="39573686"/>
    <w:rsid w:val="395E4A5A"/>
    <w:rsid w:val="39620C35"/>
    <w:rsid w:val="39C00BF3"/>
    <w:rsid w:val="39E61CF1"/>
    <w:rsid w:val="39E74CE9"/>
    <w:rsid w:val="3A366ADE"/>
    <w:rsid w:val="3A576DC7"/>
    <w:rsid w:val="3A7F51D0"/>
    <w:rsid w:val="3B74918D"/>
    <w:rsid w:val="3BDEF677"/>
    <w:rsid w:val="3C1743E1"/>
    <w:rsid w:val="3C434BBC"/>
    <w:rsid w:val="3C9C1C2D"/>
    <w:rsid w:val="3C9C4546"/>
    <w:rsid w:val="3CC773DF"/>
    <w:rsid w:val="3CD224BA"/>
    <w:rsid w:val="3CD70B8B"/>
    <w:rsid w:val="3CE94A9B"/>
    <w:rsid w:val="3CF76371"/>
    <w:rsid w:val="3D00425F"/>
    <w:rsid w:val="3DC102FD"/>
    <w:rsid w:val="3DE54268"/>
    <w:rsid w:val="3DE8477B"/>
    <w:rsid w:val="3DF84A14"/>
    <w:rsid w:val="3DFC630B"/>
    <w:rsid w:val="3ED766C5"/>
    <w:rsid w:val="3F3BAFF1"/>
    <w:rsid w:val="3F9369F2"/>
    <w:rsid w:val="3FDE29C7"/>
    <w:rsid w:val="3FFFBEB4"/>
    <w:rsid w:val="40123B05"/>
    <w:rsid w:val="406E3F94"/>
    <w:rsid w:val="40766E01"/>
    <w:rsid w:val="408BFA1E"/>
    <w:rsid w:val="409F1D07"/>
    <w:rsid w:val="40B10A64"/>
    <w:rsid w:val="41037C20"/>
    <w:rsid w:val="4120BB10"/>
    <w:rsid w:val="413F01C9"/>
    <w:rsid w:val="41460E9E"/>
    <w:rsid w:val="415E58FC"/>
    <w:rsid w:val="416E3570"/>
    <w:rsid w:val="41B65287"/>
    <w:rsid w:val="41C23863"/>
    <w:rsid w:val="41E75A40"/>
    <w:rsid w:val="41EB1DEE"/>
    <w:rsid w:val="420E93E6"/>
    <w:rsid w:val="423756C2"/>
    <w:rsid w:val="424332F5"/>
    <w:rsid w:val="426B6719"/>
    <w:rsid w:val="42AFDB76"/>
    <w:rsid w:val="42F62CF2"/>
    <w:rsid w:val="432F4371"/>
    <w:rsid w:val="43391C98"/>
    <w:rsid w:val="43643932"/>
    <w:rsid w:val="43645536"/>
    <w:rsid w:val="43EC6888"/>
    <w:rsid w:val="440F25B2"/>
    <w:rsid w:val="44231A8E"/>
    <w:rsid w:val="4444A1E4"/>
    <w:rsid w:val="445F7A21"/>
    <w:rsid w:val="446850DF"/>
    <w:rsid w:val="44AD526E"/>
    <w:rsid w:val="44B4588D"/>
    <w:rsid w:val="44D70C16"/>
    <w:rsid w:val="450359BC"/>
    <w:rsid w:val="451E54CA"/>
    <w:rsid w:val="454B37BC"/>
    <w:rsid w:val="456C2CB7"/>
    <w:rsid w:val="46053E62"/>
    <w:rsid w:val="461B34AE"/>
    <w:rsid w:val="46277BEB"/>
    <w:rsid w:val="4640755E"/>
    <w:rsid w:val="46442E5B"/>
    <w:rsid w:val="464C7D0C"/>
    <w:rsid w:val="466E515C"/>
    <w:rsid w:val="47191665"/>
    <w:rsid w:val="47373C11"/>
    <w:rsid w:val="4747745B"/>
    <w:rsid w:val="477456BA"/>
    <w:rsid w:val="47AE578E"/>
    <w:rsid w:val="47B5703B"/>
    <w:rsid w:val="482731F7"/>
    <w:rsid w:val="4851544C"/>
    <w:rsid w:val="48A671DA"/>
    <w:rsid w:val="48C75073"/>
    <w:rsid w:val="490253B9"/>
    <w:rsid w:val="49156490"/>
    <w:rsid w:val="49573F52"/>
    <w:rsid w:val="496C7BE6"/>
    <w:rsid w:val="49CE0B1C"/>
    <w:rsid w:val="4A5A1ECD"/>
    <w:rsid w:val="4A7F26E9"/>
    <w:rsid w:val="4A83337B"/>
    <w:rsid w:val="4AA8F879"/>
    <w:rsid w:val="4AAA4D0D"/>
    <w:rsid w:val="4AC04ED4"/>
    <w:rsid w:val="4AC27FD9"/>
    <w:rsid w:val="4ADC463C"/>
    <w:rsid w:val="4AF0EB62"/>
    <w:rsid w:val="4B153059"/>
    <w:rsid w:val="4BA86CFD"/>
    <w:rsid w:val="4BB216FA"/>
    <w:rsid w:val="4C2835BA"/>
    <w:rsid w:val="4C4B8B82"/>
    <w:rsid w:val="4C8E7848"/>
    <w:rsid w:val="4C992109"/>
    <w:rsid w:val="4CF89390"/>
    <w:rsid w:val="4D1864FE"/>
    <w:rsid w:val="4D354EE3"/>
    <w:rsid w:val="4D3D62DC"/>
    <w:rsid w:val="4D7E49A1"/>
    <w:rsid w:val="4DA534E0"/>
    <w:rsid w:val="4DEB0C8D"/>
    <w:rsid w:val="4E03214E"/>
    <w:rsid w:val="4E187B4D"/>
    <w:rsid w:val="4EDE9291"/>
    <w:rsid w:val="4F0D20BB"/>
    <w:rsid w:val="4F1F5E85"/>
    <w:rsid w:val="4F36080A"/>
    <w:rsid w:val="4FF36881"/>
    <w:rsid w:val="500281D4"/>
    <w:rsid w:val="5024AF0D"/>
    <w:rsid w:val="503615C0"/>
    <w:rsid w:val="503E79E2"/>
    <w:rsid w:val="504418E6"/>
    <w:rsid w:val="504E58CF"/>
    <w:rsid w:val="50970CE9"/>
    <w:rsid w:val="510F3115"/>
    <w:rsid w:val="516A02BF"/>
    <w:rsid w:val="519143F4"/>
    <w:rsid w:val="51AA2555"/>
    <w:rsid w:val="51DFF4A7"/>
    <w:rsid w:val="521A3D6C"/>
    <w:rsid w:val="521AF1D2"/>
    <w:rsid w:val="52270CD1"/>
    <w:rsid w:val="525E4D33"/>
    <w:rsid w:val="526E67D1"/>
    <w:rsid w:val="541D3835"/>
    <w:rsid w:val="542864EB"/>
    <w:rsid w:val="5437FF1F"/>
    <w:rsid w:val="547EE4C2"/>
    <w:rsid w:val="54B7FCAA"/>
    <w:rsid w:val="557649C6"/>
    <w:rsid w:val="558A3267"/>
    <w:rsid w:val="55C13C36"/>
    <w:rsid w:val="55D0235A"/>
    <w:rsid w:val="56A71AF3"/>
    <w:rsid w:val="576E5565"/>
    <w:rsid w:val="57A764CD"/>
    <w:rsid w:val="57EEFC3B"/>
    <w:rsid w:val="58702683"/>
    <w:rsid w:val="58AB49B5"/>
    <w:rsid w:val="58AC2A61"/>
    <w:rsid w:val="590A70AC"/>
    <w:rsid w:val="59B43DB5"/>
    <w:rsid w:val="5A207C6D"/>
    <w:rsid w:val="5A5C7AEF"/>
    <w:rsid w:val="5A790EBA"/>
    <w:rsid w:val="5AB75747"/>
    <w:rsid w:val="5AED2C96"/>
    <w:rsid w:val="5B0B60BE"/>
    <w:rsid w:val="5B184102"/>
    <w:rsid w:val="5B1D1246"/>
    <w:rsid w:val="5B224165"/>
    <w:rsid w:val="5B6758F5"/>
    <w:rsid w:val="5B8F144D"/>
    <w:rsid w:val="5BBF1BA3"/>
    <w:rsid w:val="5C0E6F7E"/>
    <w:rsid w:val="5CC21E68"/>
    <w:rsid w:val="5CCD2699"/>
    <w:rsid w:val="5CD44424"/>
    <w:rsid w:val="5CF62482"/>
    <w:rsid w:val="5CF97E90"/>
    <w:rsid w:val="5D4B4AF8"/>
    <w:rsid w:val="5D565FC0"/>
    <w:rsid w:val="5D8F4C3C"/>
    <w:rsid w:val="5DDA75F7"/>
    <w:rsid w:val="5E0128C9"/>
    <w:rsid w:val="5E243BE2"/>
    <w:rsid w:val="5E295E64"/>
    <w:rsid w:val="5E6410EE"/>
    <w:rsid w:val="5E6F3664"/>
    <w:rsid w:val="5E98ABB2"/>
    <w:rsid w:val="5EA06DA5"/>
    <w:rsid w:val="5F1390D6"/>
    <w:rsid w:val="5F39AAF6"/>
    <w:rsid w:val="5F40609F"/>
    <w:rsid w:val="5F4F4D87"/>
    <w:rsid w:val="5F697BD6"/>
    <w:rsid w:val="5F993304"/>
    <w:rsid w:val="5F9C4B0A"/>
    <w:rsid w:val="5FCD79BC"/>
    <w:rsid w:val="5FE1722C"/>
    <w:rsid w:val="60841FD2"/>
    <w:rsid w:val="60DC2A4A"/>
    <w:rsid w:val="60F85897"/>
    <w:rsid w:val="610759A2"/>
    <w:rsid w:val="61243F5C"/>
    <w:rsid w:val="614935CC"/>
    <w:rsid w:val="61B10BF4"/>
    <w:rsid w:val="61C30891"/>
    <w:rsid w:val="62127E94"/>
    <w:rsid w:val="6281851A"/>
    <w:rsid w:val="628AF458"/>
    <w:rsid w:val="628C43BA"/>
    <w:rsid w:val="62B86D75"/>
    <w:rsid w:val="62D86CD4"/>
    <w:rsid w:val="63332A05"/>
    <w:rsid w:val="6343267B"/>
    <w:rsid w:val="636D02C2"/>
    <w:rsid w:val="63DA0458"/>
    <w:rsid w:val="63E83246"/>
    <w:rsid w:val="63ED339A"/>
    <w:rsid w:val="644C37EA"/>
    <w:rsid w:val="64522299"/>
    <w:rsid w:val="647060C6"/>
    <w:rsid w:val="64E676A4"/>
    <w:rsid w:val="652D6FDA"/>
    <w:rsid w:val="654C1CD4"/>
    <w:rsid w:val="6630EB30"/>
    <w:rsid w:val="664723EE"/>
    <w:rsid w:val="669806BA"/>
    <w:rsid w:val="66BF6EDE"/>
    <w:rsid w:val="66F208F6"/>
    <w:rsid w:val="670F43BA"/>
    <w:rsid w:val="672F5434"/>
    <w:rsid w:val="67D84E0F"/>
    <w:rsid w:val="67F100AE"/>
    <w:rsid w:val="681B0D0E"/>
    <w:rsid w:val="6829779D"/>
    <w:rsid w:val="684E18B7"/>
    <w:rsid w:val="685C2D4A"/>
    <w:rsid w:val="68891522"/>
    <w:rsid w:val="68921D24"/>
    <w:rsid w:val="68A41C28"/>
    <w:rsid w:val="68F3D279"/>
    <w:rsid w:val="695210F3"/>
    <w:rsid w:val="695F559C"/>
    <w:rsid w:val="69775ACA"/>
    <w:rsid w:val="698138D4"/>
    <w:rsid w:val="69866354"/>
    <w:rsid w:val="699E02BF"/>
    <w:rsid w:val="69EE00B9"/>
    <w:rsid w:val="69EE0FD9"/>
    <w:rsid w:val="6A034459"/>
    <w:rsid w:val="6A053ADB"/>
    <w:rsid w:val="6A577D99"/>
    <w:rsid w:val="6A6A6BDB"/>
    <w:rsid w:val="6AB255E4"/>
    <w:rsid w:val="6B032373"/>
    <w:rsid w:val="6B4F47D5"/>
    <w:rsid w:val="6B78D2C5"/>
    <w:rsid w:val="6B8F0116"/>
    <w:rsid w:val="6BBB34D5"/>
    <w:rsid w:val="6BDD0993"/>
    <w:rsid w:val="6BFB3A72"/>
    <w:rsid w:val="6C2814C5"/>
    <w:rsid w:val="6C896F5D"/>
    <w:rsid w:val="6CE60FC9"/>
    <w:rsid w:val="6CEE02B5"/>
    <w:rsid w:val="6D4B2E16"/>
    <w:rsid w:val="6D7C59C7"/>
    <w:rsid w:val="6DBA54F3"/>
    <w:rsid w:val="6DC64BD9"/>
    <w:rsid w:val="6DCF5D2F"/>
    <w:rsid w:val="6DF20452"/>
    <w:rsid w:val="6E022B9F"/>
    <w:rsid w:val="6E211977"/>
    <w:rsid w:val="6E5208EE"/>
    <w:rsid w:val="6EE40C1F"/>
    <w:rsid w:val="6EEE1BA6"/>
    <w:rsid w:val="6F4C44B7"/>
    <w:rsid w:val="6F6DE3C8"/>
    <w:rsid w:val="6F9C180A"/>
    <w:rsid w:val="6FDD09C0"/>
    <w:rsid w:val="70102A69"/>
    <w:rsid w:val="70193815"/>
    <w:rsid w:val="701E5F09"/>
    <w:rsid w:val="703366B6"/>
    <w:rsid w:val="7051AFB2"/>
    <w:rsid w:val="7053562B"/>
    <w:rsid w:val="70564F3C"/>
    <w:rsid w:val="705C503B"/>
    <w:rsid w:val="70E5063D"/>
    <w:rsid w:val="70F33C1C"/>
    <w:rsid w:val="70F52B73"/>
    <w:rsid w:val="716B0158"/>
    <w:rsid w:val="718CDE0A"/>
    <w:rsid w:val="71A44A93"/>
    <w:rsid w:val="71B85A82"/>
    <w:rsid w:val="71C42B4A"/>
    <w:rsid w:val="71D10818"/>
    <w:rsid w:val="72584EE9"/>
    <w:rsid w:val="72A43EE0"/>
    <w:rsid w:val="72B83D9B"/>
    <w:rsid w:val="72E0C3CC"/>
    <w:rsid w:val="736B5E92"/>
    <w:rsid w:val="73807BD1"/>
    <w:rsid w:val="73827AFE"/>
    <w:rsid w:val="74094124"/>
    <w:rsid w:val="7439623C"/>
    <w:rsid w:val="746F11E1"/>
    <w:rsid w:val="74B31856"/>
    <w:rsid w:val="74E6A606"/>
    <w:rsid w:val="74F44873"/>
    <w:rsid w:val="74FD55B6"/>
    <w:rsid w:val="7542C6EB"/>
    <w:rsid w:val="7562E4AA"/>
    <w:rsid w:val="75C26024"/>
    <w:rsid w:val="75CA56D7"/>
    <w:rsid w:val="75E83C51"/>
    <w:rsid w:val="76055019"/>
    <w:rsid w:val="7620B9CA"/>
    <w:rsid w:val="765D3844"/>
    <w:rsid w:val="76600471"/>
    <w:rsid w:val="769B54D1"/>
    <w:rsid w:val="76CF0A0C"/>
    <w:rsid w:val="76D26DDF"/>
    <w:rsid w:val="77201FC1"/>
    <w:rsid w:val="775580A4"/>
    <w:rsid w:val="7756371F"/>
    <w:rsid w:val="777D3C19"/>
    <w:rsid w:val="778407EB"/>
    <w:rsid w:val="778955B9"/>
    <w:rsid w:val="77C5ADB6"/>
    <w:rsid w:val="77E213CC"/>
    <w:rsid w:val="77EFE6AB"/>
    <w:rsid w:val="77FC011B"/>
    <w:rsid w:val="78177B7D"/>
    <w:rsid w:val="78733AA3"/>
    <w:rsid w:val="78872C05"/>
    <w:rsid w:val="78A15A46"/>
    <w:rsid w:val="78AB11CA"/>
    <w:rsid w:val="78BB0DDC"/>
    <w:rsid w:val="78F954D5"/>
    <w:rsid w:val="79002AF5"/>
    <w:rsid w:val="791745BB"/>
    <w:rsid w:val="794644D1"/>
    <w:rsid w:val="7948787A"/>
    <w:rsid w:val="79670C0D"/>
    <w:rsid w:val="797B0D1F"/>
    <w:rsid w:val="79834C44"/>
    <w:rsid w:val="79BA69C4"/>
    <w:rsid w:val="79C004C7"/>
    <w:rsid w:val="79CC39F6"/>
    <w:rsid w:val="79FF98D1"/>
    <w:rsid w:val="7A362F73"/>
    <w:rsid w:val="7A3C61DF"/>
    <w:rsid w:val="7BB43447"/>
    <w:rsid w:val="7BB504A9"/>
    <w:rsid w:val="7C4D03BF"/>
    <w:rsid w:val="7C4F65DF"/>
    <w:rsid w:val="7C6F64F7"/>
    <w:rsid w:val="7C9B4490"/>
    <w:rsid w:val="7C9F923C"/>
    <w:rsid w:val="7CA77232"/>
    <w:rsid w:val="7CC17C80"/>
    <w:rsid w:val="7D1F64B1"/>
    <w:rsid w:val="7D77252F"/>
    <w:rsid w:val="7D7D6373"/>
    <w:rsid w:val="7DE6A478"/>
    <w:rsid w:val="7E182BEB"/>
    <w:rsid w:val="7E19165D"/>
    <w:rsid w:val="7E2C3640"/>
    <w:rsid w:val="7E882197"/>
    <w:rsid w:val="7E99061C"/>
    <w:rsid w:val="7EA7C483"/>
    <w:rsid w:val="7EA84611"/>
    <w:rsid w:val="7EB42825"/>
    <w:rsid w:val="7ECADA6F"/>
    <w:rsid w:val="7EFFD3CD"/>
    <w:rsid w:val="7F238E4C"/>
    <w:rsid w:val="7F9B86B7"/>
    <w:rsid w:val="7FA87AE9"/>
    <w:rsid w:val="7FE22F25"/>
    <w:rsid w:val="7FEEDAF4"/>
    <w:rsid w:val="815330D5"/>
    <w:rsid w:val="82F4CBBF"/>
    <w:rsid w:val="851892DB"/>
    <w:rsid w:val="85A65D80"/>
    <w:rsid w:val="8688098F"/>
    <w:rsid w:val="868FFA47"/>
    <w:rsid w:val="8A257E7C"/>
    <w:rsid w:val="8A6319E3"/>
    <w:rsid w:val="8B79EC1F"/>
    <w:rsid w:val="8D92F37F"/>
    <w:rsid w:val="8E4A0F4A"/>
    <w:rsid w:val="8F2A3B81"/>
    <w:rsid w:val="8F3EDFF9"/>
    <w:rsid w:val="8FA50FFD"/>
    <w:rsid w:val="8FA56030"/>
    <w:rsid w:val="91F6B8F1"/>
    <w:rsid w:val="924CE190"/>
    <w:rsid w:val="960E0DFD"/>
    <w:rsid w:val="9616A199"/>
    <w:rsid w:val="963A595A"/>
    <w:rsid w:val="96624094"/>
    <w:rsid w:val="966C70DA"/>
    <w:rsid w:val="97056376"/>
    <w:rsid w:val="98EF7436"/>
    <w:rsid w:val="995B4085"/>
    <w:rsid w:val="9B63AF9A"/>
    <w:rsid w:val="9BCD44A0"/>
    <w:rsid w:val="9C02C751"/>
    <w:rsid w:val="9D4BB1AB"/>
    <w:rsid w:val="9E94E1CD"/>
    <w:rsid w:val="9F1F048B"/>
    <w:rsid w:val="9FC89708"/>
    <w:rsid w:val="9FE1EA38"/>
    <w:rsid w:val="A0723730"/>
    <w:rsid w:val="A0DE4144"/>
    <w:rsid w:val="A13A9956"/>
    <w:rsid w:val="A2A125E1"/>
    <w:rsid w:val="A2F8097C"/>
    <w:rsid w:val="A365FF7C"/>
    <w:rsid w:val="A3728C73"/>
    <w:rsid w:val="A4635A38"/>
    <w:rsid w:val="A6468BA4"/>
    <w:rsid w:val="A6668FF8"/>
    <w:rsid w:val="A690C45A"/>
    <w:rsid w:val="A6AD59B9"/>
    <w:rsid w:val="A7FF885D"/>
    <w:rsid w:val="A8F0AE33"/>
    <w:rsid w:val="AB306CEC"/>
    <w:rsid w:val="AC098D05"/>
    <w:rsid w:val="AD7A7F41"/>
    <w:rsid w:val="AF3C4113"/>
    <w:rsid w:val="B4910B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5" w:uiPriority="39" w:unhideWhenUsed="1" w:qFormat="1"/>
    <w:lsdException w:name="Normal Indent" w:uiPriority="99"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99" w:unhideWhenUsed="1" w:qFormat="1"/>
    <w:lsdException w:name="Body Text Indent" w:qFormat="1"/>
    <w:lsdException w:name="Subtitle" w:qFormat="1"/>
    <w:lsdException w:name="Body Text First Indent 2" w:qFormat="1"/>
    <w:lsdException w:name="Body Tex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43727"/>
    <w:pPr>
      <w:widowControl w:val="0"/>
      <w:jc w:val="both"/>
    </w:pPr>
    <w:rPr>
      <w:rFonts w:ascii="Calibri" w:hAnsi="Calibri"/>
      <w:kern w:val="2"/>
      <w:sz w:val="21"/>
      <w:szCs w:val="22"/>
    </w:rPr>
  </w:style>
  <w:style w:type="paragraph" w:styleId="1">
    <w:name w:val="heading 1"/>
    <w:basedOn w:val="a"/>
    <w:next w:val="a"/>
    <w:qFormat/>
    <w:rsid w:val="00043727"/>
    <w:pPr>
      <w:spacing w:before="100" w:beforeAutospacing="1" w:after="100" w:afterAutospacing="1"/>
      <w:jc w:val="left"/>
      <w:outlineLvl w:val="0"/>
    </w:pPr>
    <w:rPr>
      <w:rFonts w:ascii="宋体" w:hAnsi="宋体" w:hint="eastAsia"/>
      <w:b/>
      <w:kern w:val="44"/>
      <w:sz w:val="48"/>
      <w:szCs w:val="48"/>
    </w:rPr>
  </w:style>
  <w:style w:type="paragraph" w:styleId="3">
    <w:name w:val="heading 3"/>
    <w:basedOn w:val="a"/>
    <w:next w:val="a"/>
    <w:link w:val="3Char"/>
    <w:semiHidden/>
    <w:unhideWhenUsed/>
    <w:qFormat/>
    <w:rsid w:val="0004372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next w:val="5"/>
    <w:uiPriority w:val="99"/>
    <w:unhideWhenUsed/>
    <w:qFormat/>
    <w:rsid w:val="00043727"/>
    <w:pPr>
      <w:widowControl w:val="0"/>
      <w:spacing w:after="120"/>
      <w:jc w:val="both"/>
    </w:pPr>
    <w:rPr>
      <w:rFonts w:ascii="Calibri" w:hAnsi="Calibri"/>
      <w:kern w:val="2"/>
      <w:sz w:val="21"/>
      <w:szCs w:val="22"/>
    </w:rPr>
  </w:style>
  <w:style w:type="paragraph" w:styleId="5">
    <w:name w:val="toc 5"/>
    <w:next w:val="a"/>
    <w:uiPriority w:val="39"/>
    <w:unhideWhenUsed/>
    <w:qFormat/>
    <w:rsid w:val="00043727"/>
    <w:pPr>
      <w:widowControl w:val="0"/>
      <w:ind w:leftChars="800" w:left="1680"/>
      <w:jc w:val="both"/>
    </w:pPr>
    <w:rPr>
      <w:rFonts w:ascii="等线" w:eastAsia="等线" w:hAnsi="等线" w:hint="eastAsia"/>
      <w:kern w:val="2"/>
      <w:sz w:val="21"/>
      <w:szCs w:val="24"/>
    </w:rPr>
  </w:style>
  <w:style w:type="paragraph" w:styleId="a4">
    <w:name w:val="Normal Indent"/>
    <w:basedOn w:val="a"/>
    <w:next w:val="a"/>
    <w:uiPriority w:val="99"/>
    <w:unhideWhenUsed/>
    <w:qFormat/>
    <w:rsid w:val="00043727"/>
    <w:pPr>
      <w:adjustRightInd w:val="0"/>
      <w:spacing w:line="360" w:lineRule="auto"/>
      <w:ind w:firstLine="420"/>
      <w:textAlignment w:val="baseline"/>
    </w:pPr>
    <w:rPr>
      <w:rFonts w:eastAsia="仿宋_GB2312"/>
      <w:kern w:val="0"/>
      <w:sz w:val="32"/>
    </w:rPr>
  </w:style>
  <w:style w:type="paragraph" w:styleId="a5">
    <w:name w:val="annotation text"/>
    <w:link w:val="Char"/>
    <w:qFormat/>
    <w:rsid w:val="00043727"/>
    <w:pPr>
      <w:widowControl w:val="0"/>
    </w:pPr>
    <w:rPr>
      <w:rFonts w:ascii="Calibri" w:hAnsi="Calibri"/>
      <w:kern w:val="2"/>
      <w:sz w:val="21"/>
      <w:szCs w:val="22"/>
    </w:rPr>
  </w:style>
  <w:style w:type="paragraph" w:styleId="a6">
    <w:name w:val="Body Text Indent"/>
    <w:basedOn w:val="a"/>
    <w:qFormat/>
    <w:rsid w:val="00043727"/>
    <w:pPr>
      <w:spacing w:after="120"/>
      <w:ind w:leftChars="200" w:left="420"/>
    </w:pPr>
    <w:rPr>
      <w:rFonts w:ascii="Times New Roman" w:hAnsi="Times New Roman"/>
    </w:rPr>
  </w:style>
  <w:style w:type="paragraph" w:styleId="2">
    <w:name w:val="Body Text Indent 2"/>
    <w:basedOn w:val="a"/>
    <w:next w:val="20"/>
    <w:qFormat/>
    <w:rsid w:val="00043727"/>
    <w:pPr>
      <w:adjustRightInd w:val="0"/>
      <w:snapToGrid w:val="0"/>
      <w:spacing w:line="560" w:lineRule="atLeast"/>
      <w:ind w:firstLineChars="240" w:firstLine="768"/>
    </w:pPr>
    <w:rPr>
      <w:rFonts w:ascii="Times New Roman" w:eastAsia="仿宋_GB2312" w:hAnsi="Times New Roman"/>
      <w:sz w:val="32"/>
      <w:szCs w:val="32"/>
    </w:rPr>
  </w:style>
  <w:style w:type="paragraph" w:styleId="20">
    <w:name w:val="Body Text First Indent 2"/>
    <w:basedOn w:val="a6"/>
    <w:qFormat/>
    <w:rsid w:val="00043727"/>
    <w:pPr>
      <w:ind w:firstLineChars="200" w:firstLine="420"/>
    </w:pPr>
  </w:style>
  <w:style w:type="paragraph" w:styleId="a7">
    <w:name w:val="Balloon Text"/>
    <w:basedOn w:val="a"/>
    <w:link w:val="Char0"/>
    <w:qFormat/>
    <w:rsid w:val="00043727"/>
    <w:rPr>
      <w:sz w:val="18"/>
      <w:szCs w:val="18"/>
    </w:rPr>
  </w:style>
  <w:style w:type="paragraph" w:styleId="a8">
    <w:name w:val="footer"/>
    <w:basedOn w:val="a"/>
    <w:qFormat/>
    <w:rsid w:val="00043727"/>
    <w:pPr>
      <w:tabs>
        <w:tab w:val="center" w:pos="4153"/>
        <w:tab w:val="right" w:pos="8306"/>
      </w:tabs>
      <w:snapToGrid w:val="0"/>
      <w:jc w:val="left"/>
    </w:pPr>
    <w:rPr>
      <w:rFonts w:ascii="Times New Roman" w:hAnsi="Times New Roman"/>
      <w:sz w:val="18"/>
    </w:rPr>
  </w:style>
  <w:style w:type="paragraph" w:styleId="a9">
    <w:name w:val="header"/>
    <w:basedOn w:val="a"/>
    <w:qFormat/>
    <w:rsid w:val="00043727"/>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10">
    <w:name w:val="toc 1"/>
    <w:basedOn w:val="a"/>
    <w:next w:val="a"/>
    <w:qFormat/>
    <w:rsid w:val="00043727"/>
    <w:rPr>
      <w:rFonts w:ascii="Times New Roman" w:hAnsi="Times New Roman"/>
    </w:rPr>
  </w:style>
  <w:style w:type="paragraph" w:styleId="21">
    <w:name w:val="toc 2"/>
    <w:basedOn w:val="a"/>
    <w:next w:val="a"/>
    <w:qFormat/>
    <w:rsid w:val="00043727"/>
    <w:pPr>
      <w:ind w:leftChars="200" w:left="420"/>
    </w:pPr>
    <w:rPr>
      <w:rFonts w:ascii="Times New Roman" w:hAnsi="Times New Roman"/>
    </w:rPr>
  </w:style>
  <w:style w:type="paragraph" w:styleId="HTML">
    <w:name w:val="HTML Preformatted"/>
    <w:basedOn w:val="a"/>
    <w:qFormat/>
    <w:rsid w:val="00043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a">
    <w:name w:val="Normal (Web)"/>
    <w:basedOn w:val="a"/>
    <w:qFormat/>
    <w:rsid w:val="00043727"/>
    <w:pPr>
      <w:spacing w:before="100" w:beforeAutospacing="1" w:after="100" w:afterAutospacing="1"/>
      <w:jc w:val="left"/>
    </w:pPr>
    <w:rPr>
      <w:kern w:val="0"/>
      <w:sz w:val="24"/>
    </w:rPr>
  </w:style>
  <w:style w:type="paragraph" w:styleId="ab">
    <w:name w:val="annotation subject"/>
    <w:basedOn w:val="a5"/>
    <w:next w:val="a5"/>
    <w:link w:val="Char1"/>
    <w:qFormat/>
    <w:rsid w:val="00043727"/>
    <w:rPr>
      <w:b/>
      <w:bCs/>
    </w:rPr>
  </w:style>
  <w:style w:type="table" w:styleId="ac">
    <w:name w:val="Table Grid"/>
    <w:basedOn w:val="a2"/>
    <w:qFormat/>
    <w:rsid w:val="0004372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qFormat/>
    <w:rsid w:val="00043727"/>
    <w:rPr>
      <w:b/>
    </w:rPr>
  </w:style>
  <w:style w:type="character" w:styleId="ae">
    <w:name w:val="FollowedHyperlink"/>
    <w:basedOn w:val="a1"/>
    <w:qFormat/>
    <w:rsid w:val="00043727"/>
    <w:rPr>
      <w:rFonts w:ascii="Times New Roman" w:eastAsia="宋体" w:hAnsi="Times New Roman" w:cs="Times New Roman"/>
      <w:color w:val="000000"/>
      <w:u w:val="none"/>
    </w:rPr>
  </w:style>
  <w:style w:type="character" w:styleId="af">
    <w:name w:val="Emphasis"/>
    <w:basedOn w:val="a1"/>
    <w:qFormat/>
    <w:rsid w:val="00043727"/>
    <w:rPr>
      <w:rFonts w:ascii="Times New Roman" w:eastAsia="宋体" w:hAnsi="Times New Roman" w:cs="Times New Roman"/>
      <w:i/>
    </w:rPr>
  </w:style>
  <w:style w:type="character" w:styleId="HTML0">
    <w:name w:val="HTML Acronym"/>
    <w:basedOn w:val="a1"/>
    <w:qFormat/>
    <w:rsid w:val="00043727"/>
  </w:style>
  <w:style w:type="character" w:styleId="af0">
    <w:name w:val="Hyperlink"/>
    <w:basedOn w:val="a1"/>
    <w:qFormat/>
    <w:rsid w:val="00043727"/>
    <w:rPr>
      <w:rFonts w:ascii="Times New Roman" w:eastAsia="宋体" w:hAnsi="Times New Roman" w:cs="Times New Roman"/>
      <w:color w:val="000000"/>
      <w:u w:val="none"/>
    </w:rPr>
  </w:style>
  <w:style w:type="character" w:styleId="HTML1">
    <w:name w:val="HTML Code"/>
    <w:basedOn w:val="a1"/>
    <w:qFormat/>
    <w:rsid w:val="00043727"/>
    <w:rPr>
      <w:rFonts w:ascii="Courier New" w:hAnsi="Courier New"/>
      <w:sz w:val="20"/>
    </w:rPr>
  </w:style>
  <w:style w:type="character" w:styleId="af1">
    <w:name w:val="annotation reference"/>
    <w:basedOn w:val="a1"/>
    <w:qFormat/>
    <w:rsid w:val="00043727"/>
    <w:rPr>
      <w:sz w:val="21"/>
      <w:szCs w:val="21"/>
    </w:rPr>
  </w:style>
  <w:style w:type="character" w:styleId="HTML2">
    <w:name w:val="HTML Cite"/>
    <w:basedOn w:val="a1"/>
    <w:qFormat/>
    <w:rsid w:val="00043727"/>
    <w:rPr>
      <w:color w:val="008000"/>
    </w:rPr>
  </w:style>
  <w:style w:type="paragraph" w:customStyle="1" w:styleId="BodyTextIndent2">
    <w:name w:val="BodyTextIndent2"/>
    <w:basedOn w:val="a"/>
    <w:qFormat/>
    <w:rsid w:val="00043727"/>
    <w:pPr>
      <w:spacing w:after="120" w:line="480" w:lineRule="auto"/>
      <w:ind w:leftChars="200" w:left="420"/>
      <w:textAlignment w:val="baseline"/>
    </w:pPr>
    <w:rPr>
      <w:rFonts w:ascii="Times New Roman" w:hAnsi="Times New Roman"/>
    </w:rPr>
  </w:style>
  <w:style w:type="character" w:customStyle="1" w:styleId="news-time2">
    <w:name w:val="news-time2"/>
    <w:basedOn w:val="a1"/>
    <w:qFormat/>
    <w:rsid w:val="00043727"/>
    <w:rPr>
      <w:rFonts w:ascii="Arial" w:hAnsi="Arial" w:cs="Arial"/>
      <w:color w:val="FFFFFF"/>
      <w:sz w:val="18"/>
      <w:szCs w:val="18"/>
      <w:shd w:val="clear" w:color="auto" w:fill="B3B3B3"/>
    </w:rPr>
  </w:style>
  <w:style w:type="character" w:customStyle="1" w:styleId="jticotieba">
    <w:name w:val="jtico_tieba"/>
    <w:basedOn w:val="a1"/>
    <w:qFormat/>
    <w:rsid w:val="00043727"/>
    <w:rPr>
      <w:shd w:val="clear" w:color="auto" w:fill="0C4DA0"/>
    </w:rPr>
  </w:style>
  <w:style w:type="character" w:customStyle="1" w:styleId="first-child1">
    <w:name w:val="first-child1"/>
    <w:basedOn w:val="a1"/>
    <w:qFormat/>
    <w:rsid w:val="00043727"/>
    <w:rPr>
      <w:color w:val="E50012"/>
      <w:sz w:val="36"/>
      <w:szCs w:val="36"/>
    </w:rPr>
  </w:style>
  <w:style w:type="character" w:customStyle="1" w:styleId="jticoweixin">
    <w:name w:val="jtico_weixin"/>
    <w:basedOn w:val="a1"/>
    <w:qFormat/>
    <w:rsid w:val="00043727"/>
    <w:rPr>
      <w:shd w:val="clear" w:color="auto" w:fill="198910"/>
    </w:rPr>
  </w:style>
  <w:style w:type="character" w:customStyle="1" w:styleId="first-child">
    <w:name w:val="first-child"/>
    <w:basedOn w:val="a1"/>
    <w:qFormat/>
    <w:rsid w:val="00043727"/>
    <w:rPr>
      <w:color w:val="E50012"/>
      <w:sz w:val="36"/>
      <w:szCs w:val="36"/>
    </w:rPr>
  </w:style>
  <w:style w:type="character" w:customStyle="1" w:styleId="jticoqzone">
    <w:name w:val="jtico_qzone"/>
    <w:basedOn w:val="a1"/>
    <w:qFormat/>
    <w:rsid w:val="00043727"/>
    <w:rPr>
      <w:shd w:val="clear" w:color="auto" w:fill="FFC028"/>
    </w:rPr>
  </w:style>
  <w:style w:type="character" w:customStyle="1" w:styleId="jticotsina2">
    <w:name w:val="jtico_tsina2"/>
    <w:basedOn w:val="a1"/>
    <w:qFormat/>
    <w:rsid w:val="00043727"/>
    <w:rPr>
      <w:shd w:val="clear" w:color="auto" w:fill="CB1625"/>
    </w:rPr>
  </w:style>
  <w:style w:type="character" w:customStyle="1" w:styleId="jticocqq">
    <w:name w:val="jtico_cqq"/>
    <w:basedOn w:val="a1"/>
    <w:qFormat/>
    <w:rsid w:val="00043727"/>
    <w:rPr>
      <w:shd w:val="clear" w:color="auto" w:fill="1D8AC9"/>
    </w:rPr>
  </w:style>
  <w:style w:type="character" w:customStyle="1" w:styleId="jticotsina">
    <w:name w:val="jtico_tsina"/>
    <w:basedOn w:val="a1"/>
    <w:qFormat/>
    <w:rsid w:val="00043727"/>
    <w:rPr>
      <w:shd w:val="clear" w:color="auto" w:fill="CB1625"/>
    </w:rPr>
  </w:style>
  <w:style w:type="character" w:customStyle="1" w:styleId="Char0">
    <w:name w:val="批注框文本 Char"/>
    <w:basedOn w:val="a1"/>
    <w:link w:val="a7"/>
    <w:qFormat/>
    <w:rsid w:val="00043727"/>
    <w:rPr>
      <w:rFonts w:ascii="Calibri" w:hAnsi="Calibri"/>
      <w:kern w:val="2"/>
      <w:sz w:val="18"/>
      <w:szCs w:val="18"/>
    </w:rPr>
  </w:style>
  <w:style w:type="character" w:customStyle="1" w:styleId="hover25">
    <w:name w:val="hover25"/>
    <w:basedOn w:val="a1"/>
    <w:qFormat/>
    <w:rsid w:val="00043727"/>
  </w:style>
  <w:style w:type="character" w:customStyle="1" w:styleId="hover26">
    <w:name w:val="hover26"/>
    <w:basedOn w:val="a1"/>
    <w:qFormat/>
    <w:rsid w:val="00043727"/>
    <w:rPr>
      <w:color w:val="315EFB"/>
    </w:rPr>
  </w:style>
  <w:style w:type="character" w:customStyle="1" w:styleId="c-icon28">
    <w:name w:val="c-icon28"/>
    <w:basedOn w:val="a1"/>
    <w:qFormat/>
    <w:rsid w:val="00043727"/>
  </w:style>
  <w:style w:type="character" w:customStyle="1" w:styleId="tit">
    <w:name w:val="tit"/>
    <w:basedOn w:val="a1"/>
    <w:qFormat/>
    <w:rsid w:val="00043727"/>
    <w:rPr>
      <w:color w:val="151515"/>
      <w:sz w:val="18"/>
      <w:szCs w:val="18"/>
    </w:rPr>
  </w:style>
  <w:style w:type="character" w:customStyle="1" w:styleId="green">
    <w:name w:val="green"/>
    <w:basedOn w:val="a1"/>
    <w:qFormat/>
    <w:rsid w:val="00043727"/>
    <w:rPr>
      <w:color w:val="D92C0A"/>
    </w:rPr>
  </w:style>
  <w:style w:type="character" w:customStyle="1" w:styleId="tpname">
    <w:name w:val="tpname"/>
    <w:basedOn w:val="a1"/>
    <w:qFormat/>
    <w:rsid w:val="00043727"/>
    <w:rPr>
      <w:color w:val="FFFFFF"/>
      <w:sz w:val="18"/>
      <w:szCs w:val="18"/>
      <w:shd w:val="clear" w:color="auto" w:fill="616564"/>
    </w:rPr>
  </w:style>
  <w:style w:type="character" w:customStyle="1" w:styleId="tpname1">
    <w:name w:val="tpname1"/>
    <w:basedOn w:val="a1"/>
    <w:qFormat/>
    <w:rsid w:val="00043727"/>
    <w:rPr>
      <w:shd w:val="clear" w:color="auto" w:fill="44B1F2"/>
    </w:rPr>
  </w:style>
  <w:style w:type="character" w:customStyle="1" w:styleId="3Char">
    <w:name w:val="标题 3 Char"/>
    <w:basedOn w:val="a1"/>
    <w:link w:val="3"/>
    <w:semiHidden/>
    <w:qFormat/>
    <w:rsid w:val="00043727"/>
    <w:rPr>
      <w:rFonts w:ascii="Calibri" w:hAnsi="Calibri"/>
      <w:b/>
      <w:bCs/>
      <w:kern w:val="2"/>
      <w:sz w:val="32"/>
      <w:szCs w:val="32"/>
    </w:rPr>
  </w:style>
  <w:style w:type="character" w:customStyle="1" w:styleId="Char">
    <w:name w:val="批注文字 Char"/>
    <w:basedOn w:val="a1"/>
    <w:link w:val="a5"/>
    <w:qFormat/>
    <w:rsid w:val="00043727"/>
    <w:rPr>
      <w:rFonts w:ascii="Calibri" w:hAnsi="Calibri"/>
      <w:kern w:val="2"/>
      <w:sz w:val="21"/>
      <w:szCs w:val="22"/>
    </w:rPr>
  </w:style>
  <w:style w:type="character" w:customStyle="1" w:styleId="Char1">
    <w:name w:val="批注主题 Char"/>
    <w:basedOn w:val="Char"/>
    <w:link w:val="ab"/>
    <w:qFormat/>
    <w:rsid w:val="00043727"/>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4097"/>
    <customShpInfo spid="_x0000_s4099"/>
    <customShpInfo spid="_x0000_s4103" textRotate="1"/>
    <customShpInfo spid="_x0000_s410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D0C2B7-F5E0-42B5-9356-C02210AB3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2198</Words>
  <Characters>12533</Characters>
  <Application>Microsoft Office Word</Application>
  <DocSecurity>0</DocSecurity>
  <Lines>104</Lines>
  <Paragraphs>29</Paragraphs>
  <ScaleCrop>false</ScaleCrop>
  <Company>china</Company>
  <LinksUpToDate>false</LinksUpToDate>
  <CharactersWithSpaces>14702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wangpei</dc:creator>
  <cp:lastModifiedBy>Administrator</cp:lastModifiedBy>
  <cp:revision>5</cp:revision>
  <cp:lastPrinted>2021-09-01T08:16:00Z</cp:lastPrinted>
  <dcterms:created xsi:type="dcterms:W3CDTF">2022-05-06T06:48:00Z</dcterms:created>
  <dcterms:modified xsi:type="dcterms:W3CDTF">2022-05-23T08:38:00Z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showSavePromptFlag">
    <vt:lpwstr>true</vt:lpwstr>
  </property>
  <property fmtid="{D5CDD505-2E9C-101B-9397-08002B2CF9AE}" pid="4" name="ribbonExt">
    <vt:lpwstr>{"WPSExtOfficeTab":{"OnGetEnabled":false,"OnGetVisible":false}}</vt:lpwstr>
  </property>
</Properties>
</file>